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B2" w:rsidRPr="0097012A" w:rsidRDefault="00343512" w:rsidP="00343512">
      <w:pPr>
        <w:jc w:val="center"/>
        <w:rPr>
          <w:rFonts w:asciiTheme="minorHAnsi" w:hAnsiTheme="minorHAnsi"/>
          <w:b/>
        </w:rPr>
      </w:pPr>
      <w:r w:rsidRPr="0097012A">
        <w:rPr>
          <w:rFonts w:asciiTheme="minorHAnsi" w:hAnsiTheme="minorHAnsi"/>
          <w:b/>
        </w:rPr>
        <w:t>Emerging Growth Companies and Venture Capital Financing: Principles and Practice</w:t>
      </w:r>
    </w:p>
    <w:p w:rsidR="00343512" w:rsidRPr="0097012A" w:rsidRDefault="00343512" w:rsidP="00343512">
      <w:pPr>
        <w:jc w:val="center"/>
        <w:rPr>
          <w:rFonts w:asciiTheme="minorHAnsi" w:hAnsiTheme="minorHAnsi"/>
        </w:rPr>
      </w:pPr>
      <w:r w:rsidRPr="0097012A">
        <w:rPr>
          <w:rFonts w:asciiTheme="minorHAnsi" w:hAnsiTheme="minorHAnsi"/>
        </w:rPr>
        <w:t>Professors Levy and Yaghmaie</w:t>
      </w:r>
    </w:p>
    <w:p w:rsidR="00343512" w:rsidRPr="0097012A" w:rsidRDefault="00343512" w:rsidP="00343512">
      <w:pPr>
        <w:jc w:val="center"/>
        <w:rPr>
          <w:rFonts w:asciiTheme="minorHAnsi" w:hAnsiTheme="minorHAnsi"/>
        </w:rPr>
      </w:pPr>
    </w:p>
    <w:p w:rsidR="00343512" w:rsidRPr="0097012A" w:rsidRDefault="00343512" w:rsidP="00343512">
      <w:pPr>
        <w:jc w:val="center"/>
        <w:rPr>
          <w:rFonts w:asciiTheme="minorHAnsi" w:hAnsiTheme="minorHAnsi"/>
        </w:rPr>
      </w:pPr>
      <w:r w:rsidRPr="0097012A">
        <w:rPr>
          <w:rFonts w:asciiTheme="minorHAnsi" w:hAnsiTheme="minorHAnsi"/>
        </w:rPr>
        <w:t>Syllabus</w:t>
      </w:r>
    </w:p>
    <w:p w:rsidR="00343512" w:rsidRPr="0097012A" w:rsidRDefault="00343512" w:rsidP="00343512">
      <w:pPr>
        <w:jc w:val="center"/>
        <w:rPr>
          <w:rFonts w:asciiTheme="minorHAnsi" w:hAnsiTheme="minorHAnsi"/>
        </w:rPr>
      </w:pPr>
      <w:r w:rsidRPr="0097012A">
        <w:rPr>
          <w:rFonts w:asciiTheme="minorHAnsi" w:hAnsiTheme="minorHAnsi"/>
        </w:rPr>
        <w:t>(Subject to revision)</w:t>
      </w:r>
    </w:p>
    <w:p w:rsidR="00343512" w:rsidRPr="0097012A" w:rsidRDefault="00343512" w:rsidP="00343512">
      <w:pPr>
        <w:jc w:val="center"/>
        <w:rPr>
          <w:rFonts w:asciiTheme="minorHAnsi" w:hAnsiTheme="minorHAnsi"/>
        </w:rPr>
      </w:pPr>
    </w:p>
    <w:p w:rsidR="00343512" w:rsidRPr="0097012A" w:rsidRDefault="00343512" w:rsidP="00343512">
      <w:pPr>
        <w:jc w:val="center"/>
        <w:rPr>
          <w:rFonts w:asciiTheme="minorHAnsi" w:hAnsiTheme="minorHAnsi"/>
        </w:rPr>
      </w:pPr>
      <w:r w:rsidRPr="0097012A">
        <w:rPr>
          <w:rFonts w:asciiTheme="minorHAnsi" w:hAnsiTheme="minorHAnsi"/>
        </w:rPr>
        <w:t>Fall 2013</w:t>
      </w:r>
    </w:p>
    <w:p w:rsidR="00343512" w:rsidRPr="0097012A" w:rsidRDefault="00343512" w:rsidP="00343512">
      <w:pPr>
        <w:jc w:val="center"/>
        <w:rPr>
          <w:rFonts w:asciiTheme="minorHAnsi" w:hAnsiTheme="minorHAnsi"/>
        </w:rPr>
      </w:pPr>
      <w:r w:rsidRPr="0097012A">
        <w:rPr>
          <w:rFonts w:asciiTheme="minorHAnsi" w:hAnsiTheme="minorHAnsi"/>
        </w:rPr>
        <w:t>Monday</w:t>
      </w:r>
      <w:r w:rsidR="00300143">
        <w:rPr>
          <w:rFonts w:asciiTheme="minorHAnsi" w:hAnsiTheme="minorHAnsi"/>
        </w:rPr>
        <w:t>s</w:t>
      </w:r>
      <w:r w:rsidRPr="0097012A">
        <w:rPr>
          <w:rFonts w:asciiTheme="minorHAnsi" w:hAnsiTheme="minorHAnsi"/>
        </w:rPr>
        <w:t>, 8am to 10am</w:t>
      </w:r>
    </w:p>
    <w:p w:rsidR="00343512" w:rsidRPr="0097012A" w:rsidRDefault="00343512">
      <w:pPr>
        <w:rPr>
          <w:rFonts w:asciiTheme="minorHAnsi" w:hAnsiTheme="minorHAnsi"/>
        </w:rPr>
      </w:pPr>
    </w:p>
    <w:p w:rsidR="0097012A" w:rsidRPr="0097012A" w:rsidRDefault="0097012A">
      <w:pPr>
        <w:rPr>
          <w:rFonts w:asciiTheme="minorHAnsi" w:hAnsiTheme="minorHAnsi"/>
          <w:b/>
        </w:rPr>
      </w:pPr>
      <w:r w:rsidRPr="0097012A">
        <w:rPr>
          <w:rFonts w:asciiTheme="minorHAnsi" w:hAnsiTheme="minorHAnsi"/>
          <w:b/>
        </w:rPr>
        <w:t>Course Description and Materials</w:t>
      </w:r>
    </w:p>
    <w:p w:rsidR="0097012A" w:rsidRPr="0097012A" w:rsidRDefault="0097012A">
      <w:pPr>
        <w:rPr>
          <w:rFonts w:asciiTheme="minorHAnsi" w:hAnsiTheme="minorHAnsi"/>
        </w:rPr>
      </w:pPr>
    </w:p>
    <w:p w:rsidR="0097012A" w:rsidRPr="0097012A" w:rsidRDefault="0097012A">
      <w:pPr>
        <w:rPr>
          <w:rFonts w:asciiTheme="minorHAnsi" w:hAnsiTheme="minorHAnsi"/>
        </w:rPr>
      </w:pPr>
      <w:r w:rsidRPr="0097012A">
        <w:rPr>
          <w:rFonts w:asciiTheme="minorHAnsi" w:hAnsiTheme="minorHAnsi"/>
        </w:rPr>
        <w:t>The start-up high technology enterprise, privately financed largely with funds provided by angel investors and venture capital firms, is a successful source of important new and technologically innovative products.  Many highly visible and successful companies have raised venture capital at some point in their life cycle.  This course covers the legal and business issues that arise in the context of representing emerging growth companies and the venture capital investors who provide an important source of capital to such companies. In particular, the course will focus on the legal issues typically encountered by private companies at formation, financing, operation and key corporate events, including acquisition transactions and public offerings. Topics covered will include corporate formation and governance, angel investments (both equity and debt), venture capital financing, employment and equity compensation matters, protection of intellectual property, securities laws compliance and exit strategies through merger, acquisition or initial public offering. The course will offer an introduction to these topics through the eyes of attorneys who practice in a leading Silicon Valley-based law firm active in New York City's technology market and may also include guest presentations by industry participants, such as venture capitalists, angel investors and entrepreneurs.</w:t>
      </w:r>
    </w:p>
    <w:p w:rsidR="0097012A" w:rsidRPr="0097012A" w:rsidRDefault="0097012A">
      <w:pPr>
        <w:rPr>
          <w:rFonts w:asciiTheme="minorHAnsi" w:hAnsiTheme="minorHAnsi"/>
        </w:rPr>
      </w:pPr>
    </w:p>
    <w:p w:rsidR="001454A1" w:rsidRPr="0097012A" w:rsidRDefault="004044B0">
      <w:pPr>
        <w:rPr>
          <w:rFonts w:asciiTheme="minorHAnsi" w:hAnsiTheme="minorHAnsi"/>
          <w:b/>
        </w:rPr>
      </w:pPr>
      <w:r w:rsidRPr="0097012A">
        <w:rPr>
          <w:rFonts w:asciiTheme="minorHAnsi" w:hAnsiTheme="minorHAnsi"/>
          <w:b/>
        </w:rPr>
        <w:t>Reading</w:t>
      </w:r>
    </w:p>
    <w:p w:rsidR="001454A1" w:rsidRPr="0097012A" w:rsidRDefault="001454A1">
      <w:pPr>
        <w:rPr>
          <w:rFonts w:asciiTheme="minorHAnsi" w:hAnsiTheme="minorHAnsi"/>
        </w:rPr>
      </w:pPr>
    </w:p>
    <w:p w:rsidR="009D7C16" w:rsidRPr="0097012A" w:rsidRDefault="009D7C16" w:rsidP="009D7C16">
      <w:pPr>
        <w:rPr>
          <w:rFonts w:asciiTheme="minorHAnsi" w:hAnsiTheme="minorHAnsi"/>
        </w:rPr>
      </w:pPr>
      <w:r w:rsidRPr="0097012A">
        <w:rPr>
          <w:rFonts w:asciiTheme="minorHAnsi" w:hAnsiTheme="minorHAnsi"/>
        </w:rPr>
        <w:t>The Entrepreneur's Guide to Business Law, 4</w:t>
      </w:r>
      <w:r w:rsidRPr="0097012A">
        <w:rPr>
          <w:rFonts w:asciiTheme="minorHAnsi" w:hAnsiTheme="minorHAnsi"/>
          <w:vertAlign w:val="superscript"/>
        </w:rPr>
        <w:t>th</w:t>
      </w:r>
      <w:r w:rsidRPr="0097012A">
        <w:rPr>
          <w:rFonts w:asciiTheme="minorHAnsi" w:hAnsiTheme="minorHAnsi"/>
        </w:rPr>
        <w:t xml:space="preserve"> Edition (Bagley, Dauchy)</w:t>
      </w:r>
      <w:r w:rsidR="0037301E">
        <w:rPr>
          <w:rFonts w:asciiTheme="minorHAnsi" w:hAnsiTheme="minorHAnsi"/>
        </w:rPr>
        <w:t xml:space="preserve"> (“</w:t>
      </w:r>
      <w:r w:rsidR="0037301E" w:rsidRPr="0037301E">
        <w:rPr>
          <w:rFonts w:asciiTheme="minorHAnsi" w:hAnsiTheme="minorHAnsi"/>
          <w:b/>
        </w:rPr>
        <w:t>The</w:t>
      </w:r>
      <w:r w:rsidR="0037301E">
        <w:rPr>
          <w:rFonts w:asciiTheme="minorHAnsi" w:hAnsiTheme="minorHAnsi"/>
        </w:rPr>
        <w:t xml:space="preserve"> </w:t>
      </w:r>
      <w:r w:rsidR="0037301E" w:rsidRPr="0037301E">
        <w:rPr>
          <w:rFonts w:asciiTheme="minorHAnsi" w:hAnsiTheme="minorHAnsi"/>
          <w:b/>
        </w:rPr>
        <w:t>Entrepreneur’s Guide</w:t>
      </w:r>
      <w:r w:rsidR="0037301E">
        <w:rPr>
          <w:rFonts w:asciiTheme="minorHAnsi" w:hAnsiTheme="minorHAnsi"/>
        </w:rPr>
        <w:t>”)</w:t>
      </w:r>
    </w:p>
    <w:p w:rsidR="001454A1" w:rsidRPr="0097012A" w:rsidRDefault="001454A1">
      <w:pPr>
        <w:rPr>
          <w:rFonts w:asciiTheme="minorHAnsi" w:hAnsiTheme="minorHAnsi"/>
        </w:rPr>
      </w:pPr>
      <w:r w:rsidRPr="0097012A">
        <w:rPr>
          <w:rFonts w:asciiTheme="minorHAnsi" w:hAnsiTheme="minorHAnsi"/>
        </w:rPr>
        <w:t>Venture Deals: Be Smarter Than Your Lawyer an</w:t>
      </w:r>
      <w:r w:rsidR="0097012A">
        <w:rPr>
          <w:rFonts w:asciiTheme="minorHAnsi" w:hAnsiTheme="minorHAnsi"/>
        </w:rPr>
        <w:t xml:space="preserve">d Venture Capitalist (Brad </w:t>
      </w:r>
      <w:proofErr w:type="spellStart"/>
      <w:r w:rsidR="0097012A">
        <w:rPr>
          <w:rFonts w:asciiTheme="minorHAnsi" w:hAnsiTheme="minorHAnsi"/>
        </w:rPr>
        <w:t>Feld</w:t>
      </w:r>
      <w:proofErr w:type="spellEnd"/>
      <w:r w:rsidR="0097012A">
        <w:rPr>
          <w:rFonts w:asciiTheme="minorHAnsi" w:hAnsiTheme="minorHAnsi"/>
        </w:rPr>
        <w:t>,</w:t>
      </w:r>
      <w:r w:rsidRPr="0097012A">
        <w:rPr>
          <w:rFonts w:asciiTheme="minorHAnsi" w:hAnsiTheme="minorHAnsi"/>
        </w:rPr>
        <w:t xml:space="preserve"> Jason </w:t>
      </w:r>
      <w:proofErr w:type="spellStart"/>
      <w:r w:rsidRPr="0097012A">
        <w:rPr>
          <w:rFonts w:asciiTheme="minorHAnsi" w:hAnsiTheme="minorHAnsi"/>
        </w:rPr>
        <w:t>Mendelson</w:t>
      </w:r>
      <w:proofErr w:type="spellEnd"/>
      <w:r w:rsidRPr="0097012A">
        <w:rPr>
          <w:rFonts w:asciiTheme="minorHAnsi" w:hAnsiTheme="minorHAnsi"/>
        </w:rPr>
        <w:t>)</w:t>
      </w:r>
      <w:r w:rsidR="0037301E">
        <w:rPr>
          <w:rFonts w:asciiTheme="minorHAnsi" w:hAnsiTheme="minorHAnsi"/>
        </w:rPr>
        <w:t xml:space="preserve"> (“</w:t>
      </w:r>
      <w:r w:rsidR="0037301E" w:rsidRPr="0037301E">
        <w:rPr>
          <w:rFonts w:asciiTheme="minorHAnsi" w:hAnsiTheme="minorHAnsi"/>
          <w:b/>
        </w:rPr>
        <w:t>Venture Deals</w:t>
      </w:r>
      <w:r w:rsidR="0037301E">
        <w:rPr>
          <w:rFonts w:asciiTheme="minorHAnsi" w:hAnsiTheme="minorHAnsi"/>
        </w:rPr>
        <w:t>”)</w:t>
      </w:r>
    </w:p>
    <w:p w:rsidR="004044B0" w:rsidRPr="0097012A" w:rsidRDefault="004044B0">
      <w:pPr>
        <w:rPr>
          <w:rFonts w:asciiTheme="minorHAnsi" w:hAnsiTheme="minorHAnsi"/>
        </w:rPr>
      </w:pPr>
      <w:r w:rsidRPr="0097012A">
        <w:rPr>
          <w:rFonts w:asciiTheme="minorHAnsi" w:hAnsiTheme="minorHAnsi"/>
        </w:rPr>
        <w:t>AVC – Fred Wilson’s Blog</w:t>
      </w:r>
    </w:p>
    <w:p w:rsidR="001454A1" w:rsidRPr="0097012A" w:rsidRDefault="001454A1">
      <w:pPr>
        <w:rPr>
          <w:rFonts w:asciiTheme="minorHAnsi" w:hAnsiTheme="minorHAnsi"/>
        </w:rPr>
      </w:pPr>
    </w:p>
    <w:p w:rsidR="0097012A" w:rsidRPr="0097012A" w:rsidRDefault="0097012A" w:rsidP="0097012A">
      <w:pPr>
        <w:pStyle w:val="NormalWeb"/>
        <w:spacing w:before="0" w:beforeAutospacing="0" w:after="0" w:afterAutospacing="0"/>
        <w:jc w:val="both"/>
        <w:rPr>
          <w:rFonts w:ascii="Calibri" w:hAnsi="Calibri"/>
          <w:b/>
        </w:rPr>
      </w:pPr>
      <w:r w:rsidRPr="0097012A">
        <w:rPr>
          <w:rFonts w:ascii="Calibri" w:hAnsi="Calibri"/>
          <w:b/>
        </w:rPr>
        <w:t>Grading</w:t>
      </w:r>
    </w:p>
    <w:p w:rsidR="0097012A" w:rsidRPr="0097012A" w:rsidRDefault="0097012A" w:rsidP="0097012A">
      <w:pPr>
        <w:jc w:val="both"/>
        <w:rPr>
          <w:rFonts w:ascii="Calibri" w:hAnsi="Calibri"/>
        </w:rPr>
      </w:pPr>
    </w:p>
    <w:p w:rsidR="0097012A" w:rsidRPr="0097012A" w:rsidRDefault="0097012A" w:rsidP="0097012A">
      <w:pPr>
        <w:jc w:val="both"/>
        <w:rPr>
          <w:rFonts w:ascii="Calibri" w:hAnsi="Calibri"/>
        </w:rPr>
      </w:pPr>
      <w:r w:rsidRPr="0097012A">
        <w:rPr>
          <w:rFonts w:ascii="Calibri" w:hAnsi="Calibri"/>
        </w:rPr>
        <w:lastRenderedPageBreak/>
        <w:t>The final grade will be based (</w:t>
      </w:r>
      <w:proofErr w:type="spellStart"/>
      <w:r w:rsidRPr="0097012A">
        <w:rPr>
          <w:rFonts w:ascii="Calibri" w:hAnsi="Calibri"/>
        </w:rPr>
        <w:t>i</w:t>
      </w:r>
      <w:proofErr w:type="spellEnd"/>
      <w:r w:rsidRPr="0097012A">
        <w:rPr>
          <w:rFonts w:ascii="Calibri" w:hAnsi="Calibri"/>
        </w:rPr>
        <w:t xml:space="preserve">) 80% on a </w:t>
      </w:r>
      <w:r>
        <w:rPr>
          <w:rFonts w:asciiTheme="minorHAnsi" w:hAnsiTheme="minorHAnsi"/>
        </w:rPr>
        <w:t>classroom exam (which may be replaced by a take home exam)</w:t>
      </w:r>
      <w:r w:rsidRPr="0097012A">
        <w:rPr>
          <w:rFonts w:ascii="Calibri" w:hAnsi="Calibri"/>
        </w:rPr>
        <w:t xml:space="preserve">, and (ii) 20% on in-class participation </w:t>
      </w:r>
      <w:r>
        <w:rPr>
          <w:rFonts w:asciiTheme="minorHAnsi" w:hAnsiTheme="minorHAnsi"/>
        </w:rPr>
        <w:t xml:space="preserve">as described below </w:t>
      </w:r>
      <w:r w:rsidRPr="0097012A">
        <w:rPr>
          <w:rFonts w:ascii="Calibri" w:hAnsi="Calibri"/>
        </w:rPr>
        <w:t>(including, prepared ques</w:t>
      </w:r>
      <w:r w:rsidRPr="0097012A">
        <w:rPr>
          <w:rFonts w:ascii="Calibri" w:hAnsi="Calibri"/>
        </w:rPr>
        <w:softHyphen/>
        <w:t>tions/responses for two classes of your choosing).  This seminar is subject to the Law School’s grading curve.</w:t>
      </w:r>
    </w:p>
    <w:p w:rsidR="0097012A" w:rsidRPr="0097012A" w:rsidRDefault="0097012A" w:rsidP="0097012A">
      <w:pPr>
        <w:jc w:val="both"/>
        <w:rPr>
          <w:rFonts w:ascii="Calibri" w:hAnsi="Calibri"/>
        </w:rPr>
      </w:pPr>
    </w:p>
    <w:p w:rsidR="0097012A" w:rsidRPr="0097012A" w:rsidRDefault="0097012A" w:rsidP="0097012A">
      <w:pPr>
        <w:jc w:val="both"/>
        <w:rPr>
          <w:rFonts w:ascii="Calibri" w:hAnsi="Calibri"/>
        </w:rPr>
      </w:pPr>
      <w:bookmarkStart w:id="0" w:name="Audience"/>
      <w:bookmarkEnd w:id="0"/>
      <w:proofErr w:type="gramStart"/>
      <w:r w:rsidRPr="0097012A">
        <w:rPr>
          <w:rFonts w:ascii="Calibri" w:hAnsi="Calibri"/>
          <w:i/>
        </w:rPr>
        <w:t>Class Participation</w:t>
      </w:r>
      <w:r w:rsidRPr="0097012A">
        <w:rPr>
          <w:rFonts w:ascii="Calibri" w:hAnsi="Calibri"/>
        </w:rPr>
        <w:t>.</w:t>
      </w:r>
      <w:proofErr w:type="gramEnd"/>
      <w:r w:rsidRPr="0097012A">
        <w:rPr>
          <w:rFonts w:ascii="Calibri" w:hAnsi="Calibri"/>
        </w:rPr>
        <w:t xml:space="preserve">  Class participation will comprise 20% of the final grade.  Among the factors to be taken into account will be your comments, analyses, and insights during our in-class dis</w:t>
      </w:r>
      <w:r w:rsidRPr="0097012A">
        <w:rPr>
          <w:rFonts w:ascii="Calibri" w:hAnsi="Calibri"/>
        </w:rPr>
        <w:softHyphen/>
        <w:t>cus</w:t>
      </w:r>
      <w:r w:rsidRPr="0097012A">
        <w:rPr>
          <w:rFonts w:ascii="Calibri" w:hAnsi="Calibri"/>
        </w:rPr>
        <w:softHyphen/>
        <w:t>sion.  Except in extra</w:t>
      </w:r>
      <w:r w:rsidRPr="0097012A">
        <w:rPr>
          <w:rFonts w:ascii="Calibri" w:hAnsi="Calibri"/>
        </w:rPr>
        <w:softHyphen/>
        <w:t>ordinary circumstances, you will be expected to be prepared to partici</w:t>
      </w:r>
      <w:r w:rsidRPr="0097012A">
        <w:rPr>
          <w:rFonts w:ascii="Calibri" w:hAnsi="Calibri"/>
        </w:rPr>
        <w:softHyphen/>
        <w:t>pate in each class session.  Please let me know if you are unable to participate on a particular day due to employ</w:t>
      </w:r>
      <w:r w:rsidRPr="0097012A">
        <w:rPr>
          <w:rFonts w:ascii="Calibri" w:hAnsi="Calibri"/>
        </w:rPr>
        <w:softHyphen/>
        <w:t xml:space="preserve">ment interviews, religious holidays, or emergencies. </w:t>
      </w:r>
    </w:p>
    <w:p w:rsidR="0097012A" w:rsidRPr="0097012A" w:rsidRDefault="0097012A" w:rsidP="0097012A">
      <w:pPr>
        <w:jc w:val="both"/>
        <w:rPr>
          <w:rFonts w:ascii="Calibri" w:hAnsi="Calibri"/>
        </w:rPr>
      </w:pPr>
    </w:p>
    <w:p w:rsidR="0097012A" w:rsidRPr="0097012A" w:rsidRDefault="0097012A" w:rsidP="0097012A">
      <w:pPr>
        <w:jc w:val="both"/>
        <w:rPr>
          <w:rFonts w:ascii="Calibri" w:hAnsi="Calibri"/>
          <w:b/>
          <w:bCs/>
        </w:rPr>
      </w:pPr>
      <w:r w:rsidRPr="0097012A">
        <w:rPr>
          <w:rFonts w:ascii="Calibri" w:hAnsi="Calibri"/>
          <w:b/>
          <w:bCs/>
        </w:rPr>
        <w:t>E-mail Communications</w:t>
      </w:r>
    </w:p>
    <w:p w:rsidR="0097012A" w:rsidRPr="0097012A" w:rsidRDefault="0097012A" w:rsidP="0097012A">
      <w:pPr>
        <w:jc w:val="both"/>
        <w:rPr>
          <w:rFonts w:ascii="Calibri" w:hAnsi="Calibri"/>
          <w:b/>
          <w:bCs/>
        </w:rPr>
      </w:pPr>
    </w:p>
    <w:p w:rsidR="0097012A" w:rsidRPr="0097012A" w:rsidRDefault="0097012A" w:rsidP="0097012A">
      <w:pPr>
        <w:jc w:val="both"/>
        <w:rPr>
          <w:rFonts w:ascii="Calibri" w:hAnsi="Calibri"/>
        </w:rPr>
      </w:pPr>
      <w:r w:rsidRPr="0097012A">
        <w:rPr>
          <w:rFonts w:ascii="Calibri" w:hAnsi="Calibri"/>
        </w:rPr>
        <w:t xml:space="preserve">E-mail communications can provide an important means of enhancing the learning process, but they should not become a substitute for analyzing a problem on your own. A student who e-mails a question to me is expected to have carefully considered the analysis on his or her own (or with a group of colleagues). If the question still remains unanswered, you are encouraged to raise it with me by e-mail or in person. </w:t>
      </w:r>
    </w:p>
    <w:p w:rsidR="0097012A" w:rsidRPr="0097012A" w:rsidRDefault="0097012A" w:rsidP="0097012A">
      <w:pPr>
        <w:rPr>
          <w:rFonts w:ascii="Calibri" w:hAnsi="Calibri" w:cs="Courier New"/>
        </w:rPr>
      </w:pPr>
    </w:p>
    <w:p w:rsidR="0097012A" w:rsidRPr="0097012A" w:rsidRDefault="0097012A" w:rsidP="0097012A">
      <w:pPr>
        <w:rPr>
          <w:rFonts w:ascii="Calibri" w:hAnsi="Calibri"/>
          <w:b/>
        </w:rPr>
      </w:pPr>
      <w:r w:rsidRPr="0097012A">
        <w:rPr>
          <w:rFonts w:ascii="Calibri" w:hAnsi="Calibri"/>
          <w:b/>
        </w:rPr>
        <w:t>Office Hours</w:t>
      </w:r>
    </w:p>
    <w:p w:rsidR="0097012A" w:rsidRPr="0097012A" w:rsidRDefault="0097012A" w:rsidP="0097012A">
      <w:pPr>
        <w:rPr>
          <w:rFonts w:ascii="Calibri" w:hAnsi="Calibri"/>
          <w:b/>
        </w:rPr>
      </w:pPr>
    </w:p>
    <w:p w:rsidR="0097012A" w:rsidRPr="0097012A" w:rsidRDefault="006135F8" w:rsidP="0097012A">
      <w:pPr>
        <w:jc w:val="both"/>
        <w:rPr>
          <w:rFonts w:ascii="Calibri" w:hAnsi="Calibri"/>
        </w:rPr>
      </w:pPr>
      <w:r>
        <w:rPr>
          <w:rFonts w:asciiTheme="minorHAnsi" w:hAnsiTheme="minorHAnsi"/>
        </w:rPr>
        <w:t xml:space="preserve">Professors Levy or Yaghmaie do not expect to hold fixed office hours.  </w:t>
      </w:r>
      <w:r w:rsidR="0097012A" w:rsidRPr="0097012A">
        <w:rPr>
          <w:rFonts w:ascii="Calibri" w:hAnsi="Calibri"/>
        </w:rPr>
        <w:t xml:space="preserve">Students should feel free to </w:t>
      </w:r>
      <w:r>
        <w:rPr>
          <w:rFonts w:asciiTheme="minorHAnsi" w:hAnsiTheme="minorHAnsi"/>
        </w:rPr>
        <w:t>email Professors Levy or Yaghmaie directly to schedule meeting during the semester</w:t>
      </w:r>
      <w:r w:rsidR="0097012A" w:rsidRPr="0097012A">
        <w:rPr>
          <w:rFonts w:ascii="Calibri" w:hAnsi="Calibri"/>
        </w:rPr>
        <w:t>.</w:t>
      </w:r>
    </w:p>
    <w:p w:rsidR="0097012A" w:rsidRPr="0097012A" w:rsidRDefault="0097012A" w:rsidP="0097012A">
      <w:pPr>
        <w:rPr>
          <w:rFonts w:ascii="Calibri" w:hAnsi="Calibri"/>
          <w:b/>
        </w:rPr>
      </w:pPr>
    </w:p>
    <w:p w:rsidR="0097012A" w:rsidRPr="0097012A" w:rsidRDefault="0097012A" w:rsidP="0097012A">
      <w:pPr>
        <w:rPr>
          <w:rFonts w:ascii="Calibri" w:hAnsi="Calibri"/>
          <w:b/>
        </w:rPr>
      </w:pPr>
      <w:r w:rsidRPr="0097012A">
        <w:rPr>
          <w:rFonts w:ascii="Calibri" w:hAnsi="Calibri"/>
          <w:b/>
        </w:rPr>
        <w:t>Contact Details</w:t>
      </w:r>
    </w:p>
    <w:p w:rsidR="0097012A" w:rsidRPr="0097012A" w:rsidRDefault="0097012A" w:rsidP="0097012A">
      <w:pPr>
        <w:rPr>
          <w:rFonts w:ascii="Calibri" w:hAnsi="Calibri"/>
        </w:rPr>
      </w:pPr>
      <w:r w:rsidRPr="0097012A">
        <w:rPr>
          <w:rFonts w:ascii="Calibri" w:hAnsi="Calibri"/>
        </w:rPr>
        <w:t xml:space="preserve"> </w:t>
      </w:r>
    </w:p>
    <w:p w:rsidR="0097012A" w:rsidRPr="0097012A" w:rsidRDefault="00285442" w:rsidP="0097012A">
      <w:pPr>
        <w:rPr>
          <w:rFonts w:ascii="Calibri" w:hAnsi="Calibri"/>
        </w:rPr>
      </w:pPr>
      <w:r>
        <w:rPr>
          <w:rFonts w:asciiTheme="minorHAnsi" w:hAnsiTheme="minorHAnsi"/>
        </w:rPr>
        <w:t xml:space="preserve">Professors Levy or Yaghmaie </w:t>
      </w:r>
      <w:r w:rsidR="0097012A" w:rsidRPr="0097012A">
        <w:rPr>
          <w:rFonts w:ascii="Calibri" w:hAnsi="Calibri"/>
        </w:rPr>
        <w:t xml:space="preserve">can be reached as follows:  </w:t>
      </w:r>
    </w:p>
    <w:p w:rsidR="0097012A" w:rsidRPr="0097012A" w:rsidRDefault="0097012A" w:rsidP="0097012A">
      <w:pPr>
        <w:rPr>
          <w:rFonts w:ascii="Calibri" w:hAnsi="Calibri"/>
        </w:rPr>
      </w:pPr>
    </w:p>
    <w:p w:rsidR="00285442" w:rsidRPr="00285442" w:rsidRDefault="00285442" w:rsidP="00285442">
      <w:pPr>
        <w:rPr>
          <w:rFonts w:asciiTheme="minorHAnsi" w:hAnsiTheme="minorHAnsi"/>
          <w:i/>
        </w:rPr>
      </w:pPr>
      <w:r w:rsidRPr="00285442">
        <w:rPr>
          <w:rFonts w:asciiTheme="minorHAnsi" w:hAnsiTheme="minorHAnsi"/>
          <w:i/>
        </w:rPr>
        <w:t>Stephane Levy</w:t>
      </w:r>
    </w:p>
    <w:p w:rsidR="00285442" w:rsidRPr="00285442" w:rsidRDefault="00285442" w:rsidP="00285442">
      <w:pPr>
        <w:rPr>
          <w:rFonts w:asciiTheme="minorHAnsi" w:hAnsiTheme="minorHAnsi"/>
        </w:rPr>
      </w:pPr>
      <w:r w:rsidRPr="00285442">
        <w:rPr>
          <w:rFonts w:asciiTheme="minorHAnsi" w:hAnsiTheme="minorHAnsi"/>
        </w:rPr>
        <w:t>Cooley LLP</w:t>
      </w:r>
    </w:p>
    <w:p w:rsidR="00285442" w:rsidRPr="00285442" w:rsidRDefault="00285442" w:rsidP="00285442">
      <w:pPr>
        <w:rPr>
          <w:rFonts w:asciiTheme="minorHAnsi" w:hAnsiTheme="minorHAnsi"/>
        </w:rPr>
      </w:pPr>
      <w:r w:rsidRPr="00285442">
        <w:rPr>
          <w:rFonts w:asciiTheme="minorHAnsi" w:hAnsiTheme="minorHAnsi"/>
        </w:rPr>
        <w:t xml:space="preserve">1114 Avenue of the Americas </w:t>
      </w:r>
    </w:p>
    <w:p w:rsidR="00285442" w:rsidRPr="00285442" w:rsidRDefault="00285442" w:rsidP="00285442">
      <w:pPr>
        <w:rPr>
          <w:rFonts w:asciiTheme="minorHAnsi" w:hAnsiTheme="minorHAnsi"/>
        </w:rPr>
      </w:pPr>
      <w:r w:rsidRPr="00285442">
        <w:rPr>
          <w:rFonts w:asciiTheme="minorHAnsi" w:hAnsiTheme="minorHAnsi"/>
        </w:rPr>
        <w:t>New York, NY 10036</w:t>
      </w:r>
    </w:p>
    <w:p w:rsidR="00285442" w:rsidRDefault="00285442" w:rsidP="00285442">
      <w:pPr>
        <w:rPr>
          <w:rFonts w:asciiTheme="minorHAnsi" w:hAnsiTheme="minorHAnsi"/>
        </w:rPr>
      </w:pPr>
      <w:r w:rsidRPr="00285442">
        <w:rPr>
          <w:rFonts w:asciiTheme="minorHAnsi" w:hAnsiTheme="minorHAnsi"/>
        </w:rPr>
        <w:t>Direct: (212) 479-6838 • Fax: (212) 202-3623</w:t>
      </w:r>
    </w:p>
    <w:p w:rsidR="0097012A" w:rsidRPr="0097012A" w:rsidRDefault="00285442" w:rsidP="00285442">
      <w:pPr>
        <w:rPr>
          <w:rFonts w:ascii="Calibri" w:hAnsi="Calibri"/>
        </w:rPr>
      </w:pPr>
      <w:r w:rsidRPr="00285442">
        <w:rPr>
          <w:rFonts w:asciiTheme="minorHAnsi" w:hAnsiTheme="minorHAnsi"/>
        </w:rPr>
        <w:t>Email: slevy@cooley.com</w:t>
      </w:r>
    </w:p>
    <w:p w:rsidR="0097012A" w:rsidRPr="0097012A" w:rsidRDefault="0097012A" w:rsidP="0097012A">
      <w:pPr>
        <w:ind w:left="2880" w:hanging="2880"/>
        <w:rPr>
          <w:rFonts w:ascii="Calibri" w:hAnsi="Calibri"/>
        </w:rPr>
      </w:pPr>
    </w:p>
    <w:p w:rsidR="00285442" w:rsidRPr="00285442" w:rsidRDefault="00285442" w:rsidP="00285442">
      <w:pPr>
        <w:ind w:left="2880" w:hanging="2880"/>
        <w:rPr>
          <w:rFonts w:asciiTheme="minorHAnsi" w:hAnsiTheme="minorHAnsi"/>
          <w:i/>
        </w:rPr>
      </w:pPr>
      <w:r w:rsidRPr="00285442">
        <w:rPr>
          <w:rFonts w:asciiTheme="minorHAnsi" w:hAnsiTheme="minorHAnsi"/>
          <w:i/>
        </w:rPr>
        <w:t>Babak (Bo) Yaghmaie</w:t>
      </w:r>
    </w:p>
    <w:p w:rsidR="00285442" w:rsidRPr="00285442" w:rsidRDefault="00285442" w:rsidP="00285442">
      <w:pPr>
        <w:ind w:left="2880" w:hanging="2880"/>
        <w:rPr>
          <w:rFonts w:asciiTheme="minorHAnsi" w:hAnsiTheme="minorHAnsi"/>
        </w:rPr>
      </w:pPr>
      <w:r>
        <w:rPr>
          <w:rFonts w:asciiTheme="minorHAnsi" w:hAnsiTheme="minorHAnsi"/>
        </w:rPr>
        <w:t>Cooley LLP</w:t>
      </w:r>
      <w:r w:rsidRPr="00285442">
        <w:rPr>
          <w:rFonts w:asciiTheme="minorHAnsi" w:hAnsiTheme="minorHAnsi"/>
        </w:rPr>
        <w:t xml:space="preserve"> </w:t>
      </w:r>
    </w:p>
    <w:p w:rsidR="00285442" w:rsidRPr="00285442" w:rsidRDefault="00285442" w:rsidP="00285442">
      <w:pPr>
        <w:ind w:left="2880" w:hanging="2880"/>
        <w:rPr>
          <w:rFonts w:asciiTheme="minorHAnsi" w:hAnsiTheme="minorHAnsi"/>
        </w:rPr>
      </w:pPr>
      <w:r w:rsidRPr="00285442">
        <w:rPr>
          <w:rFonts w:asciiTheme="minorHAnsi" w:hAnsiTheme="minorHAnsi"/>
        </w:rPr>
        <w:t xml:space="preserve">1114 Avenue of the Americas </w:t>
      </w:r>
    </w:p>
    <w:p w:rsidR="00285442" w:rsidRPr="00285442" w:rsidRDefault="00285442" w:rsidP="00285442">
      <w:pPr>
        <w:ind w:left="2880" w:hanging="2880"/>
        <w:rPr>
          <w:rFonts w:asciiTheme="minorHAnsi" w:hAnsiTheme="minorHAnsi"/>
        </w:rPr>
      </w:pPr>
      <w:r w:rsidRPr="00285442">
        <w:rPr>
          <w:rFonts w:asciiTheme="minorHAnsi" w:hAnsiTheme="minorHAnsi"/>
        </w:rPr>
        <w:t>New York, NY 10036</w:t>
      </w:r>
    </w:p>
    <w:p w:rsidR="00285442" w:rsidRDefault="00285442" w:rsidP="00285442">
      <w:pPr>
        <w:ind w:left="2880" w:hanging="2880"/>
        <w:rPr>
          <w:rFonts w:asciiTheme="minorHAnsi" w:hAnsiTheme="minorHAnsi"/>
        </w:rPr>
      </w:pPr>
      <w:r w:rsidRPr="00285442">
        <w:rPr>
          <w:rFonts w:asciiTheme="minorHAnsi" w:hAnsiTheme="minorHAnsi"/>
        </w:rPr>
        <w:t>Direct: (212) 4</w:t>
      </w:r>
      <w:r>
        <w:rPr>
          <w:rFonts w:asciiTheme="minorHAnsi" w:hAnsiTheme="minorHAnsi"/>
        </w:rPr>
        <w:t>79-6556 • Fax: (212) 202-5302</w:t>
      </w:r>
    </w:p>
    <w:p w:rsidR="0097012A" w:rsidRPr="0097012A" w:rsidRDefault="00285442" w:rsidP="00285442">
      <w:pPr>
        <w:ind w:left="2880" w:hanging="2880"/>
        <w:rPr>
          <w:rFonts w:ascii="Calibri" w:hAnsi="Calibri"/>
        </w:rPr>
      </w:pPr>
      <w:r>
        <w:rPr>
          <w:rFonts w:asciiTheme="minorHAnsi" w:hAnsiTheme="minorHAnsi"/>
        </w:rPr>
        <w:t xml:space="preserve">Email: </w:t>
      </w:r>
      <w:r w:rsidRPr="00285442">
        <w:rPr>
          <w:rFonts w:asciiTheme="minorHAnsi" w:hAnsiTheme="minorHAnsi"/>
        </w:rPr>
        <w:t>bo@cooley.com</w:t>
      </w:r>
    </w:p>
    <w:p w:rsidR="0097012A" w:rsidRDefault="0097012A" w:rsidP="0097012A">
      <w:pPr>
        <w:ind w:left="2880" w:hanging="2880"/>
        <w:rPr>
          <w:rFonts w:asciiTheme="minorHAnsi" w:hAnsiTheme="minorHAnsi"/>
        </w:rPr>
      </w:pPr>
    </w:p>
    <w:p w:rsidR="00285442" w:rsidRPr="00285442" w:rsidRDefault="00285442" w:rsidP="0097012A">
      <w:pPr>
        <w:ind w:left="2880" w:hanging="2880"/>
        <w:rPr>
          <w:rFonts w:asciiTheme="minorHAnsi" w:hAnsiTheme="minorHAnsi"/>
          <w:b/>
        </w:rPr>
      </w:pPr>
      <w:r w:rsidRPr="00285442">
        <w:rPr>
          <w:rFonts w:asciiTheme="minorHAnsi" w:hAnsiTheme="minorHAnsi"/>
          <w:b/>
        </w:rPr>
        <w:t>Assistants</w:t>
      </w:r>
    </w:p>
    <w:p w:rsidR="00285442" w:rsidRDefault="00285442" w:rsidP="00285442">
      <w:pPr>
        <w:ind w:left="2880" w:hanging="2880"/>
        <w:rPr>
          <w:rFonts w:asciiTheme="minorHAnsi" w:hAnsiTheme="minorHAnsi"/>
        </w:rPr>
      </w:pPr>
    </w:p>
    <w:p w:rsidR="00285442" w:rsidRDefault="00285442" w:rsidP="00285442">
      <w:pPr>
        <w:ind w:left="2880" w:hanging="2880"/>
        <w:rPr>
          <w:rFonts w:asciiTheme="minorHAnsi" w:hAnsiTheme="minorHAnsi"/>
        </w:rPr>
      </w:pPr>
      <w:r>
        <w:rPr>
          <w:rFonts w:asciiTheme="minorHAnsi" w:hAnsiTheme="minorHAnsi"/>
        </w:rPr>
        <w:t>At Cornell:</w:t>
      </w:r>
    </w:p>
    <w:p w:rsidR="00285442" w:rsidRPr="00285442" w:rsidRDefault="00285442" w:rsidP="00285442">
      <w:pPr>
        <w:ind w:left="2880" w:hanging="2880"/>
        <w:rPr>
          <w:rFonts w:asciiTheme="minorHAnsi" w:hAnsiTheme="minorHAnsi"/>
          <w:i/>
        </w:rPr>
      </w:pPr>
      <w:r w:rsidRPr="00285442">
        <w:rPr>
          <w:rFonts w:asciiTheme="minorHAnsi" w:hAnsiTheme="minorHAnsi"/>
          <w:i/>
        </w:rPr>
        <w:t>Allen Czelusniak</w:t>
      </w:r>
    </w:p>
    <w:p w:rsidR="00285442" w:rsidRPr="00285442" w:rsidRDefault="00285442" w:rsidP="00285442">
      <w:pPr>
        <w:ind w:left="2880" w:hanging="2880"/>
        <w:rPr>
          <w:rFonts w:asciiTheme="minorHAnsi" w:hAnsiTheme="minorHAnsi"/>
        </w:rPr>
      </w:pPr>
      <w:r w:rsidRPr="00285442">
        <w:rPr>
          <w:rFonts w:asciiTheme="minorHAnsi" w:hAnsiTheme="minorHAnsi"/>
        </w:rPr>
        <w:t>Administrative Assistant</w:t>
      </w:r>
    </w:p>
    <w:p w:rsidR="00285442" w:rsidRPr="00285442" w:rsidRDefault="00285442" w:rsidP="00285442">
      <w:pPr>
        <w:ind w:left="2880" w:hanging="2880"/>
        <w:rPr>
          <w:rFonts w:asciiTheme="minorHAnsi" w:hAnsiTheme="minorHAnsi"/>
        </w:rPr>
      </w:pPr>
      <w:r w:rsidRPr="00285442">
        <w:rPr>
          <w:rFonts w:asciiTheme="minorHAnsi" w:hAnsiTheme="minorHAnsi"/>
        </w:rPr>
        <w:t>315 Myron Taylor Hall</w:t>
      </w:r>
    </w:p>
    <w:p w:rsidR="00285442" w:rsidRPr="00285442" w:rsidRDefault="00285442" w:rsidP="00285442">
      <w:pPr>
        <w:ind w:left="2880" w:hanging="2880"/>
        <w:rPr>
          <w:rFonts w:asciiTheme="minorHAnsi" w:hAnsiTheme="minorHAnsi"/>
        </w:rPr>
      </w:pPr>
      <w:r w:rsidRPr="00285442">
        <w:rPr>
          <w:rFonts w:asciiTheme="minorHAnsi" w:hAnsiTheme="minorHAnsi"/>
        </w:rPr>
        <w:t>Cornell Law School</w:t>
      </w:r>
    </w:p>
    <w:p w:rsidR="00285442" w:rsidRPr="00285442" w:rsidRDefault="00285442" w:rsidP="00285442">
      <w:pPr>
        <w:ind w:left="2880" w:hanging="2880"/>
        <w:rPr>
          <w:rFonts w:asciiTheme="minorHAnsi" w:hAnsiTheme="minorHAnsi"/>
        </w:rPr>
      </w:pPr>
      <w:r w:rsidRPr="00285442">
        <w:rPr>
          <w:rFonts w:asciiTheme="minorHAnsi" w:hAnsiTheme="minorHAnsi"/>
        </w:rPr>
        <w:t>Ithaca, NY 14853</w:t>
      </w:r>
    </w:p>
    <w:p w:rsidR="00285442" w:rsidRPr="00285442" w:rsidRDefault="00285442" w:rsidP="00285442">
      <w:pPr>
        <w:ind w:left="2880" w:hanging="2880"/>
        <w:rPr>
          <w:rFonts w:asciiTheme="minorHAnsi" w:hAnsiTheme="minorHAnsi"/>
        </w:rPr>
      </w:pPr>
      <w:r w:rsidRPr="00285442">
        <w:rPr>
          <w:rFonts w:asciiTheme="minorHAnsi" w:hAnsiTheme="minorHAnsi"/>
        </w:rPr>
        <w:t>(607)255-5883</w:t>
      </w:r>
    </w:p>
    <w:p w:rsidR="00285442" w:rsidRDefault="00285442" w:rsidP="00285442">
      <w:pPr>
        <w:ind w:left="2880" w:hanging="2880"/>
        <w:rPr>
          <w:rFonts w:asciiTheme="minorHAnsi" w:hAnsiTheme="minorHAnsi"/>
        </w:rPr>
      </w:pPr>
      <w:r w:rsidRPr="00285442">
        <w:rPr>
          <w:rFonts w:asciiTheme="minorHAnsi" w:hAnsiTheme="minorHAnsi"/>
        </w:rPr>
        <w:t>ahc85@cornell.edu</w:t>
      </w:r>
    </w:p>
    <w:p w:rsidR="00285442" w:rsidRDefault="00285442" w:rsidP="00285442">
      <w:pPr>
        <w:ind w:left="2880" w:hanging="2880"/>
        <w:rPr>
          <w:rFonts w:asciiTheme="minorHAnsi" w:hAnsiTheme="minorHAnsi"/>
        </w:rPr>
      </w:pPr>
    </w:p>
    <w:p w:rsidR="00285442" w:rsidRDefault="00285442" w:rsidP="00285442">
      <w:pPr>
        <w:ind w:left="2880" w:hanging="2880"/>
        <w:rPr>
          <w:rFonts w:asciiTheme="minorHAnsi" w:hAnsiTheme="minorHAnsi"/>
        </w:rPr>
      </w:pPr>
      <w:r>
        <w:rPr>
          <w:rFonts w:asciiTheme="minorHAnsi" w:hAnsiTheme="minorHAnsi"/>
        </w:rPr>
        <w:t>At Cooley:</w:t>
      </w:r>
    </w:p>
    <w:p w:rsidR="00285442" w:rsidRPr="00285442" w:rsidRDefault="00285442" w:rsidP="00285442">
      <w:pPr>
        <w:ind w:left="2880" w:hanging="2880"/>
        <w:rPr>
          <w:rFonts w:asciiTheme="minorHAnsi" w:hAnsiTheme="minorHAnsi"/>
          <w:i/>
        </w:rPr>
      </w:pPr>
      <w:r w:rsidRPr="00285442">
        <w:rPr>
          <w:rFonts w:asciiTheme="minorHAnsi" w:hAnsiTheme="minorHAnsi"/>
          <w:i/>
        </w:rPr>
        <w:t xml:space="preserve">Maureen O'Boyle </w:t>
      </w:r>
    </w:p>
    <w:p w:rsidR="00285442" w:rsidRPr="00285442" w:rsidRDefault="00285442" w:rsidP="00285442">
      <w:pPr>
        <w:ind w:left="2880" w:hanging="2880"/>
        <w:rPr>
          <w:rFonts w:asciiTheme="minorHAnsi" w:hAnsiTheme="minorHAnsi"/>
        </w:rPr>
      </w:pPr>
      <w:r w:rsidRPr="00285442">
        <w:rPr>
          <w:rFonts w:asciiTheme="minorHAnsi" w:hAnsiTheme="minorHAnsi"/>
        </w:rPr>
        <w:t xml:space="preserve">Cooley LLP </w:t>
      </w:r>
    </w:p>
    <w:p w:rsidR="00285442" w:rsidRPr="00285442" w:rsidRDefault="00285442" w:rsidP="00285442">
      <w:pPr>
        <w:ind w:left="2880" w:hanging="2880"/>
        <w:rPr>
          <w:rFonts w:asciiTheme="minorHAnsi" w:hAnsiTheme="minorHAnsi"/>
        </w:rPr>
      </w:pPr>
      <w:r w:rsidRPr="00285442">
        <w:rPr>
          <w:rFonts w:asciiTheme="minorHAnsi" w:hAnsiTheme="minorHAnsi"/>
        </w:rPr>
        <w:t xml:space="preserve">Legal Secretary </w:t>
      </w:r>
    </w:p>
    <w:p w:rsidR="00285442" w:rsidRPr="00285442" w:rsidRDefault="00285442" w:rsidP="00285442">
      <w:pPr>
        <w:ind w:left="2880" w:hanging="2880"/>
        <w:rPr>
          <w:rFonts w:asciiTheme="minorHAnsi" w:hAnsiTheme="minorHAnsi"/>
        </w:rPr>
      </w:pPr>
      <w:r w:rsidRPr="00285442">
        <w:rPr>
          <w:rFonts w:asciiTheme="minorHAnsi" w:hAnsiTheme="minorHAnsi"/>
        </w:rPr>
        <w:t xml:space="preserve">Phone:  212/479-6172 </w:t>
      </w:r>
    </w:p>
    <w:p w:rsidR="00285442" w:rsidRDefault="00285442" w:rsidP="00285442">
      <w:pPr>
        <w:ind w:left="2880" w:hanging="2880"/>
        <w:rPr>
          <w:rFonts w:asciiTheme="minorHAnsi" w:hAnsiTheme="minorHAnsi"/>
        </w:rPr>
      </w:pPr>
      <w:r w:rsidRPr="00285442">
        <w:rPr>
          <w:rFonts w:asciiTheme="minorHAnsi" w:hAnsiTheme="minorHAnsi"/>
        </w:rPr>
        <w:t>Email: moboyle@cooley.com</w:t>
      </w:r>
    </w:p>
    <w:p w:rsidR="00285442" w:rsidRPr="0097012A" w:rsidRDefault="00285442" w:rsidP="0097012A">
      <w:pPr>
        <w:ind w:left="2880" w:hanging="2880"/>
        <w:rPr>
          <w:rFonts w:ascii="Calibri" w:hAnsi="Calibri"/>
        </w:rPr>
      </w:pPr>
    </w:p>
    <w:p w:rsidR="00B70931" w:rsidRPr="0097012A" w:rsidRDefault="003E3C2C">
      <w:pPr>
        <w:rPr>
          <w:rFonts w:asciiTheme="minorHAnsi" w:hAnsiTheme="minorHAnsi"/>
          <w:b/>
        </w:rPr>
      </w:pPr>
      <w:r w:rsidRPr="0097012A">
        <w:rPr>
          <w:rFonts w:asciiTheme="minorHAnsi" w:hAnsiTheme="minorHAnsi"/>
          <w:b/>
        </w:rPr>
        <w:t xml:space="preserve">Relevant </w:t>
      </w:r>
      <w:r w:rsidR="00B70931" w:rsidRPr="0097012A">
        <w:rPr>
          <w:rFonts w:asciiTheme="minorHAnsi" w:hAnsiTheme="minorHAnsi"/>
          <w:b/>
        </w:rPr>
        <w:t>Cases:</w:t>
      </w:r>
    </w:p>
    <w:p w:rsidR="00B70931" w:rsidRPr="0097012A" w:rsidRDefault="00B70931">
      <w:pPr>
        <w:rPr>
          <w:rFonts w:asciiTheme="minorHAnsi" w:hAnsiTheme="minorHAnsi"/>
          <w:b/>
        </w:rPr>
      </w:pPr>
    </w:p>
    <w:p w:rsidR="00B70931" w:rsidRPr="0097012A" w:rsidRDefault="00B70931">
      <w:pPr>
        <w:rPr>
          <w:rFonts w:asciiTheme="minorHAnsi" w:hAnsiTheme="minorHAnsi"/>
        </w:rPr>
      </w:pPr>
      <w:r w:rsidRPr="0097012A">
        <w:rPr>
          <w:rFonts w:asciiTheme="minorHAnsi" w:hAnsiTheme="minorHAnsi"/>
        </w:rPr>
        <w:t>See Schedule A</w:t>
      </w:r>
    </w:p>
    <w:p w:rsidR="008829B2" w:rsidRPr="0097012A" w:rsidRDefault="008829B2">
      <w:pPr>
        <w:rPr>
          <w:rFonts w:asciiTheme="minorHAnsi" w:hAnsiTheme="minorHAnsi"/>
        </w:rPr>
      </w:pPr>
    </w:p>
    <w:p w:rsidR="0097012A" w:rsidRPr="0097012A" w:rsidRDefault="00285442" w:rsidP="0097012A">
      <w:pPr>
        <w:rPr>
          <w:rFonts w:asciiTheme="minorHAnsi" w:hAnsiTheme="minorHAnsi"/>
          <w:b/>
        </w:rPr>
      </w:pPr>
      <w:r>
        <w:rPr>
          <w:rFonts w:asciiTheme="minorHAnsi" w:hAnsiTheme="minorHAnsi"/>
          <w:b/>
        </w:rPr>
        <w:t>C</w:t>
      </w:r>
      <w:r w:rsidR="0097012A" w:rsidRPr="0097012A">
        <w:rPr>
          <w:rFonts w:asciiTheme="minorHAnsi" w:hAnsiTheme="minorHAnsi"/>
          <w:b/>
        </w:rPr>
        <w:t>ast</w:t>
      </w:r>
      <w:r>
        <w:rPr>
          <w:rFonts w:asciiTheme="minorHAnsi" w:hAnsiTheme="minorHAnsi"/>
          <w:b/>
        </w:rPr>
        <w:t xml:space="preserve"> of Characters</w:t>
      </w:r>
      <w:r w:rsidR="0097012A" w:rsidRPr="0097012A">
        <w:rPr>
          <w:rFonts w:asciiTheme="minorHAnsi" w:hAnsiTheme="minorHAnsi"/>
          <w:b/>
        </w:rPr>
        <w:t>:</w:t>
      </w:r>
    </w:p>
    <w:p w:rsidR="0097012A" w:rsidRPr="0097012A" w:rsidRDefault="0097012A" w:rsidP="0097012A">
      <w:pPr>
        <w:rPr>
          <w:rFonts w:asciiTheme="minorHAnsi" w:hAnsiTheme="minorHAnsi"/>
        </w:rPr>
      </w:pPr>
    </w:p>
    <w:p w:rsidR="0097012A" w:rsidRPr="0097012A" w:rsidRDefault="0097012A" w:rsidP="0097012A">
      <w:pPr>
        <w:rPr>
          <w:rFonts w:asciiTheme="minorHAnsi" w:hAnsiTheme="minorHAnsi"/>
        </w:rPr>
      </w:pPr>
      <w:r w:rsidRPr="0097012A">
        <w:rPr>
          <w:rFonts w:asciiTheme="minorHAnsi" w:hAnsiTheme="minorHAnsi"/>
        </w:rPr>
        <w:t>Founders: “Founder1” and “Founder2”</w:t>
      </w:r>
    </w:p>
    <w:p w:rsidR="0097012A" w:rsidRPr="0097012A" w:rsidRDefault="0097012A" w:rsidP="0097012A">
      <w:pPr>
        <w:rPr>
          <w:rFonts w:asciiTheme="minorHAnsi" w:hAnsiTheme="minorHAnsi"/>
        </w:rPr>
      </w:pPr>
      <w:r w:rsidRPr="0097012A">
        <w:rPr>
          <w:rFonts w:asciiTheme="minorHAnsi" w:hAnsiTheme="minorHAnsi"/>
        </w:rPr>
        <w:t>Early Employees: “CTO” and “VP”</w:t>
      </w:r>
    </w:p>
    <w:p w:rsidR="0097012A" w:rsidRPr="0097012A" w:rsidRDefault="0097012A" w:rsidP="0097012A">
      <w:pPr>
        <w:rPr>
          <w:rFonts w:asciiTheme="minorHAnsi" w:hAnsiTheme="minorHAnsi"/>
        </w:rPr>
      </w:pPr>
      <w:r w:rsidRPr="0097012A">
        <w:rPr>
          <w:rFonts w:asciiTheme="minorHAnsi" w:hAnsiTheme="minorHAnsi"/>
        </w:rPr>
        <w:t>Angels: “Angels”</w:t>
      </w:r>
    </w:p>
    <w:p w:rsidR="0097012A" w:rsidRPr="0097012A" w:rsidRDefault="0097012A" w:rsidP="0097012A">
      <w:pPr>
        <w:rPr>
          <w:rFonts w:asciiTheme="minorHAnsi" w:hAnsiTheme="minorHAnsi"/>
        </w:rPr>
      </w:pPr>
      <w:r w:rsidRPr="0097012A">
        <w:rPr>
          <w:rFonts w:asciiTheme="minorHAnsi" w:hAnsiTheme="minorHAnsi"/>
        </w:rPr>
        <w:t>Early VC: “</w:t>
      </w:r>
      <w:proofErr w:type="spellStart"/>
      <w:r w:rsidRPr="0097012A">
        <w:rPr>
          <w:rFonts w:asciiTheme="minorHAnsi" w:hAnsiTheme="minorHAnsi"/>
        </w:rPr>
        <w:t>EarlyVC</w:t>
      </w:r>
      <w:proofErr w:type="spellEnd"/>
      <w:r w:rsidRPr="0097012A">
        <w:rPr>
          <w:rFonts w:asciiTheme="minorHAnsi" w:hAnsiTheme="minorHAnsi"/>
        </w:rPr>
        <w:t>”</w:t>
      </w:r>
    </w:p>
    <w:p w:rsidR="0097012A" w:rsidRDefault="0097012A" w:rsidP="0097012A">
      <w:pPr>
        <w:rPr>
          <w:rFonts w:asciiTheme="minorHAnsi" w:hAnsiTheme="minorHAnsi"/>
        </w:rPr>
      </w:pPr>
      <w:r w:rsidRPr="0097012A">
        <w:rPr>
          <w:rFonts w:asciiTheme="minorHAnsi" w:hAnsiTheme="minorHAnsi"/>
        </w:rPr>
        <w:t>Late VC: “</w:t>
      </w:r>
      <w:proofErr w:type="spellStart"/>
      <w:r w:rsidRPr="0097012A">
        <w:rPr>
          <w:rFonts w:asciiTheme="minorHAnsi" w:hAnsiTheme="minorHAnsi"/>
        </w:rPr>
        <w:t>LateVC</w:t>
      </w:r>
      <w:proofErr w:type="spellEnd"/>
      <w:r w:rsidRPr="0097012A">
        <w:rPr>
          <w:rFonts w:asciiTheme="minorHAnsi" w:hAnsiTheme="minorHAnsi"/>
        </w:rPr>
        <w:t>”</w:t>
      </w:r>
    </w:p>
    <w:p w:rsidR="00CC7603" w:rsidRDefault="00CC7603" w:rsidP="0097012A">
      <w:pPr>
        <w:rPr>
          <w:rFonts w:asciiTheme="minorHAnsi" w:hAnsiTheme="minorHAnsi"/>
        </w:rPr>
      </w:pPr>
    </w:p>
    <w:p w:rsidR="00CC7603" w:rsidRPr="00CC7603" w:rsidRDefault="00CC7603" w:rsidP="0097012A">
      <w:pPr>
        <w:rPr>
          <w:rFonts w:asciiTheme="minorHAnsi" w:hAnsiTheme="minorHAnsi"/>
          <w:b/>
        </w:rPr>
      </w:pPr>
      <w:r w:rsidRPr="00CC7603">
        <w:rPr>
          <w:rFonts w:asciiTheme="minorHAnsi" w:hAnsiTheme="minorHAnsi"/>
          <w:b/>
        </w:rPr>
        <w:t>Class Description</w:t>
      </w:r>
      <w:r>
        <w:rPr>
          <w:rFonts w:asciiTheme="minorHAnsi" w:hAnsiTheme="minorHAnsi"/>
          <w:b/>
        </w:rPr>
        <w:t>:</w:t>
      </w:r>
    </w:p>
    <w:p w:rsidR="008829B2" w:rsidRPr="0097012A" w:rsidRDefault="008829B2">
      <w:pPr>
        <w:rPr>
          <w:rFonts w:asciiTheme="minorHAnsi" w:hAnsiTheme="minorHAnsi"/>
        </w:rPr>
      </w:pPr>
    </w:p>
    <w:tbl>
      <w:tblPr>
        <w:tblStyle w:val="TableGrid"/>
        <w:tblW w:w="13608" w:type="dxa"/>
        <w:tblLayout w:type="fixed"/>
        <w:tblLook w:val="04A0"/>
      </w:tblPr>
      <w:tblGrid>
        <w:gridCol w:w="738"/>
        <w:gridCol w:w="1530"/>
        <w:gridCol w:w="2340"/>
        <w:gridCol w:w="6570"/>
        <w:gridCol w:w="2430"/>
      </w:tblGrid>
      <w:tr w:rsidR="00625A25" w:rsidRPr="0097012A" w:rsidTr="00EC2254">
        <w:trPr>
          <w:tblHeader/>
        </w:trPr>
        <w:tc>
          <w:tcPr>
            <w:tcW w:w="738" w:type="dxa"/>
            <w:shd w:val="clear" w:color="auto" w:fill="D9D9D9" w:themeFill="background1" w:themeFillShade="D9"/>
          </w:tcPr>
          <w:p w:rsidR="00625A25" w:rsidRPr="0097012A" w:rsidRDefault="00625A25" w:rsidP="008829B2">
            <w:pPr>
              <w:rPr>
                <w:rFonts w:asciiTheme="minorHAnsi" w:hAnsiTheme="minorHAnsi"/>
                <w:b/>
                <w:sz w:val="24"/>
                <w:szCs w:val="24"/>
              </w:rPr>
            </w:pPr>
            <w:r w:rsidRPr="0097012A">
              <w:rPr>
                <w:rFonts w:asciiTheme="minorHAnsi" w:hAnsiTheme="minorHAnsi"/>
                <w:b/>
                <w:sz w:val="24"/>
                <w:szCs w:val="24"/>
              </w:rPr>
              <w:t>Class</w:t>
            </w:r>
          </w:p>
        </w:tc>
        <w:tc>
          <w:tcPr>
            <w:tcW w:w="1530" w:type="dxa"/>
            <w:shd w:val="clear" w:color="auto" w:fill="D9D9D9" w:themeFill="background1" w:themeFillShade="D9"/>
          </w:tcPr>
          <w:p w:rsidR="00625A25" w:rsidRPr="0097012A" w:rsidRDefault="00625A25">
            <w:pPr>
              <w:rPr>
                <w:rFonts w:asciiTheme="minorHAnsi" w:hAnsiTheme="minorHAnsi"/>
                <w:b/>
                <w:sz w:val="24"/>
                <w:szCs w:val="24"/>
              </w:rPr>
            </w:pPr>
            <w:r w:rsidRPr="0097012A">
              <w:rPr>
                <w:rFonts w:asciiTheme="minorHAnsi" w:hAnsiTheme="minorHAnsi"/>
                <w:b/>
                <w:sz w:val="24"/>
                <w:szCs w:val="24"/>
              </w:rPr>
              <w:t>Date</w:t>
            </w:r>
          </w:p>
        </w:tc>
        <w:tc>
          <w:tcPr>
            <w:tcW w:w="2340" w:type="dxa"/>
            <w:shd w:val="clear" w:color="auto" w:fill="D9D9D9" w:themeFill="background1" w:themeFillShade="D9"/>
          </w:tcPr>
          <w:p w:rsidR="00625A25" w:rsidRPr="0097012A" w:rsidRDefault="00625A25">
            <w:pPr>
              <w:rPr>
                <w:rFonts w:asciiTheme="minorHAnsi" w:hAnsiTheme="minorHAnsi"/>
                <w:b/>
                <w:sz w:val="24"/>
                <w:szCs w:val="24"/>
              </w:rPr>
            </w:pPr>
            <w:r w:rsidRPr="0097012A">
              <w:rPr>
                <w:rFonts w:asciiTheme="minorHAnsi" w:hAnsiTheme="minorHAnsi"/>
                <w:b/>
                <w:sz w:val="24"/>
                <w:szCs w:val="24"/>
              </w:rPr>
              <w:t>Topic</w:t>
            </w:r>
          </w:p>
        </w:tc>
        <w:tc>
          <w:tcPr>
            <w:tcW w:w="6570" w:type="dxa"/>
            <w:shd w:val="clear" w:color="auto" w:fill="D9D9D9" w:themeFill="background1" w:themeFillShade="D9"/>
          </w:tcPr>
          <w:p w:rsidR="00625A25" w:rsidRPr="0097012A" w:rsidRDefault="00625A25">
            <w:pPr>
              <w:rPr>
                <w:rFonts w:asciiTheme="minorHAnsi" w:hAnsiTheme="minorHAnsi"/>
                <w:b/>
                <w:sz w:val="24"/>
                <w:szCs w:val="24"/>
              </w:rPr>
            </w:pPr>
            <w:r w:rsidRPr="0097012A">
              <w:rPr>
                <w:rFonts w:asciiTheme="minorHAnsi" w:hAnsiTheme="minorHAnsi"/>
                <w:b/>
                <w:sz w:val="24"/>
                <w:szCs w:val="24"/>
              </w:rPr>
              <w:t>Description</w:t>
            </w:r>
          </w:p>
        </w:tc>
        <w:tc>
          <w:tcPr>
            <w:tcW w:w="2430" w:type="dxa"/>
            <w:shd w:val="clear" w:color="auto" w:fill="D9D9D9" w:themeFill="background1" w:themeFillShade="D9"/>
          </w:tcPr>
          <w:p w:rsidR="00625A25" w:rsidRPr="0097012A" w:rsidRDefault="00625A25">
            <w:pPr>
              <w:rPr>
                <w:rFonts w:asciiTheme="minorHAnsi" w:hAnsiTheme="minorHAnsi"/>
                <w:b/>
                <w:sz w:val="24"/>
                <w:szCs w:val="24"/>
              </w:rPr>
            </w:pPr>
            <w:r w:rsidRPr="0097012A">
              <w:rPr>
                <w:rFonts w:asciiTheme="minorHAnsi" w:hAnsiTheme="minorHAnsi"/>
                <w:b/>
                <w:sz w:val="24"/>
                <w:szCs w:val="24"/>
              </w:rPr>
              <w:t>Reading Materials</w:t>
            </w:r>
            <w:r w:rsidR="001454A1" w:rsidRPr="0097012A">
              <w:rPr>
                <w:rFonts w:asciiTheme="minorHAnsi" w:hAnsiTheme="minorHAnsi"/>
                <w:b/>
                <w:sz w:val="24"/>
                <w:szCs w:val="24"/>
              </w:rPr>
              <w:t xml:space="preserve"> (In Advance)</w:t>
            </w: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September 2</w:t>
            </w:r>
          </w:p>
        </w:tc>
        <w:tc>
          <w:tcPr>
            <w:tcW w:w="2340" w:type="dxa"/>
          </w:tcPr>
          <w:p w:rsidR="00625A25" w:rsidRPr="0097012A" w:rsidRDefault="001454A1">
            <w:pPr>
              <w:rPr>
                <w:rFonts w:asciiTheme="minorHAnsi" w:hAnsiTheme="minorHAnsi"/>
                <w:sz w:val="24"/>
                <w:szCs w:val="24"/>
              </w:rPr>
            </w:pPr>
            <w:r w:rsidRPr="0097012A">
              <w:rPr>
                <w:rFonts w:asciiTheme="minorHAnsi" w:hAnsiTheme="minorHAnsi"/>
                <w:sz w:val="24"/>
                <w:szCs w:val="24"/>
              </w:rPr>
              <w:t>Introduction</w:t>
            </w:r>
          </w:p>
        </w:tc>
        <w:tc>
          <w:tcPr>
            <w:tcW w:w="6570" w:type="dxa"/>
          </w:tcPr>
          <w:p w:rsidR="00EC2254" w:rsidRPr="0097012A" w:rsidRDefault="00EC2254" w:rsidP="001454A1">
            <w:pPr>
              <w:pStyle w:val="ListParagraph"/>
              <w:numPr>
                <w:ilvl w:val="0"/>
                <w:numId w:val="3"/>
              </w:numPr>
              <w:rPr>
                <w:rFonts w:asciiTheme="minorHAnsi" w:hAnsiTheme="minorHAnsi"/>
                <w:sz w:val="24"/>
                <w:szCs w:val="24"/>
              </w:rPr>
            </w:pPr>
            <w:r w:rsidRPr="0097012A">
              <w:rPr>
                <w:rFonts w:asciiTheme="minorHAnsi" w:hAnsiTheme="minorHAnsi"/>
                <w:sz w:val="24"/>
                <w:szCs w:val="24"/>
              </w:rPr>
              <w:t>Overview of course</w:t>
            </w:r>
          </w:p>
          <w:p w:rsidR="001454A1" w:rsidRPr="0097012A" w:rsidRDefault="001454A1" w:rsidP="00AE63B1">
            <w:pPr>
              <w:pStyle w:val="ListParagraph"/>
              <w:numPr>
                <w:ilvl w:val="0"/>
                <w:numId w:val="3"/>
              </w:numPr>
              <w:rPr>
                <w:rFonts w:asciiTheme="minorHAnsi" w:hAnsiTheme="minorHAnsi"/>
                <w:sz w:val="24"/>
                <w:szCs w:val="24"/>
              </w:rPr>
            </w:pPr>
            <w:r w:rsidRPr="0097012A">
              <w:rPr>
                <w:rFonts w:asciiTheme="minorHAnsi" w:hAnsiTheme="minorHAnsi"/>
                <w:sz w:val="24"/>
                <w:szCs w:val="24"/>
              </w:rPr>
              <w:t>Who are the players/stakeholders</w:t>
            </w:r>
          </w:p>
          <w:p w:rsidR="001454A1" w:rsidRPr="0097012A" w:rsidRDefault="001454A1" w:rsidP="001454A1">
            <w:pPr>
              <w:pStyle w:val="ListParagraph"/>
              <w:numPr>
                <w:ilvl w:val="1"/>
                <w:numId w:val="3"/>
              </w:numPr>
              <w:rPr>
                <w:rFonts w:asciiTheme="minorHAnsi" w:hAnsiTheme="minorHAnsi"/>
                <w:sz w:val="24"/>
                <w:szCs w:val="24"/>
              </w:rPr>
            </w:pPr>
            <w:r w:rsidRPr="0097012A">
              <w:rPr>
                <w:rFonts w:asciiTheme="minorHAnsi" w:hAnsiTheme="minorHAnsi"/>
                <w:sz w:val="24"/>
                <w:szCs w:val="24"/>
              </w:rPr>
              <w:t>Founders</w:t>
            </w:r>
          </w:p>
          <w:p w:rsidR="00625A25" w:rsidRPr="0097012A" w:rsidRDefault="001454A1" w:rsidP="001454A1">
            <w:pPr>
              <w:pStyle w:val="ListParagraph"/>
              <w:numPr>
                <w:ilvl w:val="1"/>
                <w:numId w:val="3"/>
              </w:numPr>
              <w:rPr>
                <w:rFonts w:asciiTheme="minorHAnsi" w:hAnsiTheme="minorHAnsi"/>
                <w:sz w:val="24"/>
                <w:szCs w:val="24"/>
              </w:rPr>
            </w:pPr>
            <w:r w:rsidRPr="0097012A">
              <w:rPr>
                <w:rFonts w:asciiTheme="minorHAnsi" w:hAnsiTheme="minorHAnsi"/>
                <w:sz w:val="24"/>
                <w:szCs w:val="24"/>
              </w:rPr>
              <w:t>Startup company</w:t>
            </w:r>
          </w:p>
          <w:p w:rsidR="001454A1" w:rsidRPr="0097012A" w:rsidRDefault="001454A1" w:rsidP="001454A1">
            <w:pPr>
              <w:pStyle w:val="ListParagraph"/>
              <w:numPr>
                <w:ilvl w:val="1"/>
                <w:numId w:val="3"/>
              </w:numPr>
              <w:rPr>
                <w:rFonts w:asciiTheme="minorHAnsi" w:hAnsiTheme="minorHAnsi"/>
                <w:sz w:val="24"/>
                <w:szCs w:val="24"/>
              </w:rPr>
            </w:pPr>
            <w:r w:rsidRPr="0097012A">
              <w:rPr>
                <w:rFonts w:asciiTheme="minorHAnsi" w:hAnsiTheme="minorHAnsi"/>
                <w:sz w:val="24"/>
                <w:szCs w:val="24"/>
              </w:rPr>
              <w:t>Angel Investors</w:t>
            </w:r>
          </w:p>
          <w:p w:rsidR="00A02A13" w:rsidRPr="0097012A" w:rsidRDefault="00A02A13" w:rsidP="001454A1">
            <w:pPr>
              <w:pStyle w:val="ListParagraph"/>
              <w:numPr>
                <w:ilvl w:val="1"/>
                <w:numId w:val="3"/>
              </w:numPr>
              <w:rPr>
                <w:rFonts w:asciiTheme="minorHAnsi" w:hAnsiTheme="minorHAnsi"/>
                <w:sz w:val="24"/>
                <w:szCs w:val="24"/>
              </w:rPr>
            </w:pPr>
            <w:r w:rsidRPr="0097012A">
              <w:rPr>
                <w:rFonts w:asciiTheme="minorHAnsi" w:hAnsiTheme="minorHAnsi"/>
                <w:sz w:val="24"/>
                <w:szCs w:val="24"/>
              </w:rPr>
              <w:t>Early Stage Venture Funds</w:t>
            </w:r>
          </w:p>
          <w:p w:rsidR="001454A1" w:rsidRPr="0097012A" w:rsidRDefault="00A02A13" w:rsidP="001454A1">
            <w:pPr>
              <w:pStyle w:val="ListParagraph"/>
              <w:numPr>
                <w:ilvl w:val="1"/>
                <w:numId w:val="3"/>
              </w:numPr>
              <w:rPr>
                <w:rFonts w:asciiTheme="minorHAnsi" w:hAnsiTheme="minorHAnsi"/>
                <w:sz w:val="24"/>
                <w:szCs w:val="24"/>
              </w:rPr>
            </w:pPr>
            <w:r w:rsidRPr="0097012A">
              <w:rPr>
                <w:rFonts w:asciiTheme="minorHAnsi" w:hAnsiTheme="minorHAnsi"/>
                <w:sz w:val="24"/>
                <w:szCs w:val="24"/>
              </w:rPr>
              <w:t xml:space="preserve">Late Stage </w:t>
            </w:r>
            <w:r w:rsidR="001454A1" w:rsidRPr="0097012A">
              <w:rPr>
                <w:rFonts w:asciiTheme="minorHAnsi" w:hAnsiTheme="minorHAnsi"/>
                <w:sz w:val="24"/>
                <w:szCs w:val="24"/>
              </w:rPr>
              <w:t>Venture Funds</w:t>
            </w:r>
          </w:p>
          <w:p w:rsidR="001454A1" w:rsidRPr="0097012A" w:rsidRDefault="001454A1" w:rsidP="001454A1">
            <w:pPr>
              <w:pStyle w:val="ListParagraph"/>
              <w:numPr>
                <w:ilvl w:val="1"/>
                <w:numId w:val="3"/>
              </w:numPr>
              <w:rPr>
                <w:rFonts w:asciiTheme="minorHAnsi" w:hAnsiTheme="minorHAnsi"/>
                <w:sz w:val="24"/>
                <w:szCs w:val="24"/>
              </w:rPr>
            </w:pPr>
            <w:r w:rsidRPr="0097012A">
              <w:rPr>
                <w:rFonts w:asciiTheme="minorHAnsi" w:hAnsiTheme="minorHAnsi"/>
                <w:sz w:val="24"/>
                <w:szCs w:val="24"/>
              </w:rPr>
              <w:t>Startup Employees</w:t>
            </w:r>
          </w:p>
          <w:p w:rsidR="00AE63B1" w:rsidRPr="0097012A" w:rsidRDefault="00AE63B1" w:rsidP="00AE63B1">
            <w:pPr>
              <w:pStyle w:val="ListParagraph"/>
              <w:numPr>
                <w:ilvl w:val="0"/>
                <w:numId w:val="3"/>
              </w:numPr>
              <w:rPr>
                <w:rFonts w:asciiTheme="minorHAnsi" w:hAnsiTheme="minorHAnsi"/>
                <w:sz w:val="24"/>
                <w:szCs w:val="24"/>
              </w:rPr>
            </w:pPr>
            <w:r w:rsidRPr="0097012A">
              <w:rPr>
                <w:rFonts w:asciiTheme="minorHAnsi" w:hAnsiTheme="minorHAnsi"/>
                <w:sz w:val="24"/>
                <w:szCs w:val="24"/>
              </w:rPr>
              <w:t>Role of the Start-up/VC Lawyer</w:t>
            </w:r>
          </w:p>
          <w:p w:rsidR="001454A1" w:rsidRPr="0097012A" w:rsidRDefault="001454A1" w:rsidP="00FB6552">
            <w:pPr>
              <w:pStyle w:val="ListParagraph"/>
              <w:rPr>
                <w:rFonts w:asciiTheme="minorHAnsi" w:hAnsiTheme="minorHAnsi"/>
                <w:sz w:val="24"/>
                <w:szCs w:val="24"/>
              </w:rPr>
            </w:pPr>
          </w:p>
        </w:tc>
        <w:tc>
          <w:tcPr>
            <w:tcW w:w="2430" w:type="dxa"/>
          </w:tcPr>
          <w:p w:rsidR="00655A2C" w:rsidRPr="0097012A" w:rsidRDefault="0037301E" w:rsidP="00655A2C">
            <w:pPr>
              <w:rPr>
                <w:rFonts w:asciiTheme="minorHAnsi" w:hAnsiTheme="minorHAnsi"/>
                <w:sz w:val="24"/>
                <w:szCs w:val="24"/>
              </w:rPr>
            </w:pPr>
            <w:r w:rsidRPr="0037301E">
              <w:rPr>
                <w:rFonts w:asciiTheme="minorHAnsi" w:hAnsiTheme="minorHAnsi"/>
                <w:i/>
                <w:sz w:val="24"/>
                <w:szCs w:val="24"/>
              </w:rPr>
              <w:t>Venture Deals</w:t>
            </w:r>
            <w:r>
              <w:rPr>
                <w:rFonts w:asciiTheme="minorHAnsi" w:hAnsiTheme="minorHAnsi"/>
                <w:sz w:val="24"/>
                <w:szCs w:val="24"/>
              </w:rPr>
              <w:t>: Chapter 1</w:t>
            </w:r>
            <w:r w:rsidR="005E6ED6">
              <w:rPr>
                <w:rFonts w:asciiTheme="minorHAnsi" w:hAnsiTheme="minorHAnsi"/>
                <w:sz w:val="24"/>
                <w:szCs w:val="24"/>
              </w:rPr>
              <w:t xml:space="preserve"> – The Players</w:t>
            </w:r>
          </w:p>
          <w:p w:rsidR="00F906AC" w:rsidRPr="0097012A" w:rsidRDefault="00F906AC" w:rsidP="00655A2C">
            <w:pPr>
              <w:rPr>
                <w:rFonts w:asciiTheme="minorHAnsi" w:hAnsiTheme="minorHAnsi"/>
                <w:sz w:val="24"/>
                <w:szCs w:val="24"/>
              </w:rPr>
            </w:pPr>
          </w:p>
          <w:p w:rsidR="005E6ED6" w:rsidRPr="005E6ED6" w:rsidRDefault="005E6ED6" w:rsidP="005E6ED6">
            <w:pPr>
              <w:rPr>
                <w:rFonts w:asciiTheme="minorHAnsi" w:hAnsiTheme="minorHAnsi"/>
                <w:sz w:val="24"/>
                <w:szCs w:val="24"/>
              </w:rPr>
            </w:pPr>
            <w:r w:rsidRPr="0037301E">
              <w:rPr>
                <w:rFonts w:asciiTheme="minorHAnsi" w:hAnsiTheme="minorHAnsi"/>
                <w:i/>
                <w:sz w:val="24"/>
                <w:szCs w:val="24"/>
              </w:rPr>
              <w:t xml:space="preserve">The Entrepreneur’s Guide: </w:t>
            </w:r>
            <w:r>
              <w:rPr>
                <w:rFonts w:asciiTheme="minorHAnsi" w:hAnsiTheme="minorHAnsi"/>
                <w:sz w:val="24"/>
                <w:szCs w:val="24"/>
              </w:rPr>
              <w:t>Chapter 3 – Soliciting and Working with an Attorney</w:t>
            </w:r>
          </w:p>
          <w:p w:rsidR="00625A25" w:rsidRPr="0097012A" w:rsidRDefault="00625A25">
            <w:pPr>
              <w:rPr>
                <w:rFonts w:asciiTheme="minorHAnsi" w:hAnsiTheme="minorHAnsi"/>
                <w:sz w:val="24"/>
                <w:szCs w:val="24"/>
              </w:rPr>
            </w:pPr>
          </w:p>
          <w:p w:rsidR="009B63F3" w:rsidRPr="0097012A" w:rsidRDefault="009B63F3">
            <w:pPr>
              <w:rPr>
                <w:rFonts w:asciiTheme="minorHAnsi" w:hAnsiTheme="minorHAnsi"/>
                <w:sz w:val="24"/>
                <w:szCs w:val="24"/>
              </w:rPr>
            </w:pP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September 9</w:t>
            </w:r>
          </w:p>
        </w:tc>
        <w:tc>
          <w:tcPr>
            <w:tcW w:w="2340" w:type="dxa"/>
          </w:tcPr>
          <w:p w:rsidR="00625A25" w:rsidRPr="0097012A" w:rsidRDefault="00EC2254">
            <w:pPr>
              <w:rPr>
                <w:rFonts w:asciiTheme="minorHAnsi" w:hAnsiTheme="minorHAnsi"/>
                <w:sz w:val="24"/>
                <w:szCs w:val="24"/>
              </w:rPr>
            </w:pPr>
            <w:r w:rsidRPr="0097012A">
              <w:rPr>
                <w:rFonts w:asciiTheme="minorHAnsi" w:hAnsiTheme="minorHAnsi"/>
                <w:sz w:val="24"/>
                <w:szCs w:val="24"/>
              </w:rPr>
              <w:t>Incorporation</w:t>
            </w:r>
          </w:p>
        </w:tc>
        <w:tc>
          <w:tcPr>
            <w:tcW w:w="6570" w:type="dxa"/>
          </w:tcPr>
          <w:p w:rsidR="00625A25" w:rsidRPr="0097012A" w:rsidRDefault="00EC2254"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Choice of Entity</w:t>
            </w:r>
          </w:p>
          <w:p w:rsidR="00C3229C" w:rsidRPr="0097012A" w:rsidRDefault="00C3229C"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Why Delaware?</w:t>
            </w:r>
          </w:p>
          <w:p w:rsidR="00C3229C" w:rsidRPr="0097012A" w:rsidRDefault="00C3229C"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Certificate of Incorporation</w:t>
            </w:r>
          </w:p>
          <w:p w:rsidR="00C3229C" w:rsidRPr="0097012A" w:rsidRDefault="00C3229C"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Bylaws</w:t>
            </w:r>
          </w:p>
          <w:p w:rsidR="00815CE0" w:rsidRPr="0097012A" w:rsidRDefault="00815CE0"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Directors</w:t>
            </w:r>
          </w:p>
          <w:p w:rsidR="00815CE0" w:rsidRPr="0097012A" w:rsidRDefault="00815CE0"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Officers</w:t>
            </w:r>
          </w:p>
          <w:p w:rsidR="00815CE0" w:rsidRPr="0097012A" w:rsidRDefault="00815CE0" w:rsidP="00815CE0">
            <w:pPr>
              <w:pStyle w:val="ListParagraph"/>
              <w:numPr>
                <w:ilvl w:val="0"/>
                <w:numId w:val="5"/>
              </w:numPr>
              <w:rPr>
                <w:rFonts w:asciiTheme="minorHAnsi" w:hAnsiTheme="minorHAnsi"/>
                <w:sz w:val="24"/>
                <w:szCs w:val="24"/>
              </w:rPr>
            </w:pPr>
            <w:r w:rsidRPr="0097012A">
              <w:rPr>
                <w:rFonts w:asciiTheme="minorHAnsi" w:hAnsiTheme="minorHAnsi"/>
                <w:sz w:val="24"/>
                <w:szCs w:val="24"/>
              </w:rPr>
              <w:t>Founder Equity Split</w:t>
            </w:r>
          </w:p>
          <w:p w:rsidR="00EC2254" w:rsidRPr="0097012A" w:rsidRDefault="00EC2254"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Issuance of Common Stock</w:t>
            </w:r>
          </w:p>
          <w:p w:rsidR="00815CE0" w:rsidRPr="0097012A" w:rsidRDefault="00815CE0" w:rsidP="00815CE0">
            <w:pPr>
              <w:pStyle w:val="ListParagraph"/>
              <w:numPr>
                <w:ilvl w:val="1"/>
                <w:numId w:val="5"/>
              </w:numPr>
              <w:rPr>
                <w:rFonts w:asciiTheme="minorHAnsi" w:hAnsiTheme="minorHAnsi"/>
                <w:sz w:val="24"/>
                <w:szCs w:val="24"/>
              </w:rPr>
            </w:pPr>
            <w:r w:rsidRPr="0097012A">
              <w:rPr>
                <w:rFonts w:asciiTheme="minorHAnsi" w:hAnsiTheme="minorHAnsi"/>
                <w:sz w:val="24"/>
                <w:szCs w:val="24"/>
              </w:rPr>
              <w:t>Consideration</w:t>
            </w:r>
          </w:p>
          <w:p w:rsidR="00EC2254" w:rsidRPr="0097012A" w:rsidRDefault="00EC2254" w:rsidP="00815CE0">
            <w:pPr>
              <w:pStyle w:val="ListParagraph"/>
              <w:numPr>
                <w:ilvl w:val="1"/>
                <w:numId w:val="5"/>
              </w:numPr>
              <w:rPr>
                <w:rFonts w:asciiTheme="minorHAnsi" w:hAnsiTheme="minorHAnsi"/>
                <w:sz w:val="24"/>
                <w:szCs w:val="24"/>
              </w:rPr>
            </w:pPr>
            <w:r w:rsidRPr="0097012A">
              <w:rPr>
                <w:rFonts w:asciiTheme="minorHAnsi" w:hAnsiTheme="minorHAnsi"/>
                <w:sz w:val="24"/>
                <w:szCs w:val="24"/>
              </w:rPr>
              <w:t>Vesting/Escrow of Unvested Founder Stock</w:t>
            </w:r>
          </w:p>
          <w:p w:rsidR="00EC2254" w:rsidRPr="0097012A" w:rsidRDefault="00EC2254" w:rsidP="00815CE0">
            <w:pPr>
              <w:pStyle w:val="ListParagraph"/>
              <w:numPr>
                <w:ilvl w:val="1"/>
                <w:numId w:val="5"/>
              </w:numPr>
              <w:rPr>
                <w:rFonts w:asciiTheme="minorHAnsi" w:hAnsiTheme="minorHAnsi"/>
                <w:sz w:val="24"/>
                <w:szCs w:val="24"/>
              </w:rPr>
            </w:pPr>
            <w:r w:rsidRPr="0097012A">
              <w:rPr>
                <w:rFonts w:asciiTheme="minorHAnsi" w:hAnsiTheme="minorHAnsi"/>
                <w:sz w:val="24"/>
                <w:szCs w:val="24"/>
              </w:rPr>
              <w:lastRenderedPageBreak/>
              <w:t>Right of First Refusal on Founder Stock</w:t>
            </w:r>
          </w:p>
          <w:p w:rsidR="00EC2254" w:rsidRPr="0097012A" w:rsidRDefault="00EC2254"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Equity Incentive Plan</w:t>
            </w:r>
          </w:p>
          <w:p w:rsidR="00EC2254" w:rsidRPr="0097012A" w:rsidRDefault="00EC2254" w:rsidP="00EC2254">
            <w:pPr>
              <w:pStyle w:val="ListParagraph"/>
              <w:numPr>
                <w:ilvl w:val="0"/>
                <w:numId w:val="5"/>
              </w:numPr>
              <w:rPr>
                <w:rFonts w:asciiTheme="minorHAnsi" w:hAnsiTheme="minorHAnsi"/>
                <w:sz w:val="24"/>
                <w:szCs w:val="24"/>
              </w:rPr>
            </w:pPr>
            <w:r w:rsidRPr="0097012A">
              <w:rPr>
                <w:rFonts w:asciiTheme="minorHAnsi" w:hAnsiTheme="minorHAnsi"/>
                <w:sz w:val="24"/>
                <w:szCs w:val="24"/>
              </w:rPr>
              <w:t>Indemnification Agreement</w:t>
            </w:r>
          </w:p>
          <w:p w:rsidR="00C3229C" w:rsidRPr="0097012A" w:rsidRDefault="00C3229C" w:rsidP="00C3229C">
            <w:pPr>
              <w:pStyle w:val="ListParagraph"/>
              <w:rPr>
                <w:rFonts w:asciiTheme="minorHAnsi" w:hAnsiTheme="minorHAnsi"/>
                <w:sz w:val="24"/>
                <w:szCs w:val="24"/>
              </w:rPr>
            </w:pPr>
          </w:p>
        </w:tc>
        <w:tc>
          <w:tcPr>
            <w:tcW w:w="2430" w:type="dxa"/>
          </w:tcPr>
          <w:p w:rsidR="0037301E" w:rsidRPr="005E6ED6" w:rsidRDefault="0037301E" w:rsidP="0037301E">
            <w:pPr>
              <w:rPr>
                <w:rFonts w:asciiTheme="minorHAnsi" w:hAnsiTheme="minorHAnsi"/>
                <w:sz w:val="24"/>
                <w:szCs w:val="24"/>
              </w:rPr>
            </w:pPr>
            <w:r w:rsidRPr="0037301E">
              <w:rPr>
                <w:rFonts w:asciiTheme="minorHAnsi" w:hAnsiTheme="minorHAnsi"/>
                <w:i/>
                <w:sz w:val="24"/>
                <w:szCs w:val="24"/>
              </w:rPr>
              <w:lastRenderedPageBreak/>
              <w:t xml:space="preserve">The Entrepreneur’s Guide: </w:t>
            </w:r>
            <w:r w:rsidR="005E6ED6" w:rsidRPr="005E6ED6">
              <w:rPr>
                <w:rFonts w:asciiTheme="minorHAnsi" w:hAnsiTheme="minorHAnsi"/>
                <w:sz w:val="24"/>
                <w:szCs w:val="24"/>
              </w:rPr>
              <w:t>Chapter</w:t>
            </w:r>
            <w:r w:rsidR="005E6ED6">
              <w:rPr>
                <w:rFonts w:asciiTheme="minorHAnsi" w:hAnsiTheme="minorHAnsi"/>
                <w:sz w:val="24"/>
                <w:szCs w:val="24"/>
              </w:rPr>
              <w:t xml:space="preserve"> 4 – Deciding Whether to Incorporate; Chapter 5 – Structuring the Ownership </w:t>
            </w:r>
            <w:r w:rsidR="005E6ED6" w:rsidRPr="005E6ED6">
              <w:rPr>
                <w:rFonts w:asciiTheme="minorHAnsi" w:hAnsiTheme="minorHAnsi"/>
                <w:sz w:val="24"/>
                <w:szCs w:val="24"/>
              </w:rPr>
              <w:t>(except Tax Treatment of Founders’ Stock and Employee Stock Options)</w:t>
            </w:r>
            <w:r w:rsidR="005E6ED6">
              <w:rPr>
                <w:rFonts w:asciiTheme="minorHAnsi" w:hAnsiTheme="minorHAnsi"/>
                <w:i/>
                <w:sz w:val="24"/>
                <w:szCs w:val="24"/>
              </w:rPr>
              <w:t xml:space="preserve"> </w:t>
            </w:r>
          </w:p>
          <w:p w:rsidR="00625A25" w:rsidRPr="0097012A" w:rsidRDefault="00625A25">
            <w:pPr>
              <w:rPr>
                <w:rFonts w:asciiTheme="minorHAnsi" w:hAnsiTheme="minorHAnsi"/>
                <w:sz w:val="24"/>
                <w:szCs w:val="24"/>
              </w:rPr>
            </w:pP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September 16</w:t>
            </w:r>
          </w:p>
        </w:tc>
        <w:tc>
          <w:tcPr>
            <w:tcW w:w="2340" w:type="dxa"/>
          </w:tcPr>
          <w:p w:rsidR="00625A25" w:rsidRPr="0097012A" w:rsidRDefault="00EC2254">
            <w:pPr>
              <w:rPr>
                <w:rFonts w:asciiTheme="minorHAnsi" w:hAnsiTheme="minorHAnsi"/>
                <w:sz w:val="24"/>
                <w:szCs w:val="24"/>
              </w:rPr>
            </w:pPr>
            <w:r w:rsidRPr="0097012A">
              <w:rPr>
                <w:rFonts w:asciiTheme="minorHAnsi" w:hAnsiTheme="minorHAnsi"/>
                <w:sz w:val="24"/>
                <w:szCs w:val="24"/>
              </w:rPr>
              <w:t>Seed Funding</w:t>
            </w:r>
          </w:p>
        </w:tc>
        <w:tc>
          <w:tcPr>
            <w:tcW w:w="6570" w:type="dxa"/>
          </w:tcPr>
          <w:p w:rsidR="00C3229C" w:rsidRPr="0097012A" w:rsidRDefault="00C3229C" w:rsidP="00EC2254">
            <w:pPr>
              <w:pStyle w:val="ListParagraph"/>
              <w:numPr>
                <w:ilvl w:val="0"/>
                <w:numId w:val="4"/>
              </w:numPr>
              <w:rPr>
                <w:rFonts w:asciiTheme="minorHAnsi" w:hAnsiTheme="minorHAnsi"/>
                <w:sz w:val="24"/>
                <w:szCs w:val="24"/>
              </w:rPr>
            </w:pPr>
            <w:r w:rsidRPr="0097012A">
              <w:rPr>
                <w:rFonts w:asciiTheme="minorHAnsi" w:hAnsiTheme="minorHAnsi"/>
                <w:sz w:val="24"/>
                <w:szCs w:val="24"/>
              </w:rPr>
              <w:t>Who to raise from</w:t>
            </w:r>
          </w:p>
          <w:p w:rsidR="00625A25" w:rsidRPr="0097012A" w:rsidRDefault="004044B0" w:rsidP="004044B0">
            <w:pPr>
              <w:pStyle w:val="ListParagraph"/>
              <w:numPr>
                <w:ilvl w:val="0"/>
                <w:numId w:val="4"/>
              </w:numPr>
              <w:rPr>
                <w:rFonts w:asciiTheme="minorHAnsi" w:hAnsiTheme="minorHAnsi"/>
                <w:sz w:val="24"/>
                <w:szCs w:val="24"/>
              </w:rPr>
            </w:pPr>
            <w:r w:rsidRPr="0097012A">
              <w:rPr>
                <w:rFonts w:asciiTheme="minorHAnsi" w:hAnsiTheme="minorHAnsi"/>
                <w:sz w:val="24"/>
                <w:szCs w:val="24"/>
              </w:rPr>
              <w:t xml:space="preserve">Structure: </w:t>
            </w:r>
            <w:r w:rsidR="00C3229C" w:rsidRPr="0097012A">
              <w:rPr>
                <w:rFonts w:asciiTheme="minorHAnsi" w:hAnsiTheme="minorHAnsi"/>
                <w:sz w:val="24"/>
                <w:szCs w:val="24"/>
              </w:rPr>
              <w:t>Preferred Stock</w:t>
            </w:r>
            <w:r w:rsidR="00EC2254" w:rsidRPr="0097012A">
              <w:rPr>
                <w:rFonts w:asciiTheme="minorHAnsi" w:hAnsiTheme="minorHAnsi"/>
                <w:sz w:val="24"/>
                <w:szCs w:val="24"/>
              </w:rPr>
              <w:t xml:space="preserve"> </w:t>
            </w:r>
            <w:proofErr w:type="spellStart"/>
            <w:r w:rsidR="00EC2254" w:rsidRPr="0097012A">
              <w:rPr>
                <w:rFonts w:asciiTheme="minorHAnsi" w:hAnsiTheme="minorHAnsi"/>
                <w:sz w:val="24"/>
                <w:szCs w:val="24"/>
              </w:rPr>
              <w:t>vs</w:t>
            </w:r>
            <w:proofErr w:type="spellEnd"/>
            <w:r w:rsidR="00EC2254" w:rsidRPr="0097012A">
              <w:rPr>
                <w:rFonts w:asciiTheme="minorHAnsi" w:hAnsiTheme="minorHAnsi"/>
                <w:sz w:val="24"/>
                <w:szCs w:val="24"/>
              </w:rPr>
              <w:t xml:space="preserve"> Convertible Notes</w:t>
            </w:r>
          </w:p>
        </w:tc>
        <w:tc>
          <w:tcPr>
            <w:tcW w:w="2430" w:type="dxa"/>
          </w:tcPr>
          <w:p w:rsidR="00625A25" w:rsidRPr="0097012A" w:rsidRDefault="00EC2254">
            <w:pPr>
              <w:rPr>
                <w:rFonts w:asciiTheme="minorHAnsi" w:hAnsiTheme="minorHAnsi"/>
                <w:sz w:val="24"/>
                <w:szCs w:val="24"/>
              </w:rPr>
            </w:pPr>
            <w:r w:rsidRPr="0097012A">
              <w:rPr>
                <w:rFonts w:asciiTheme="minorHAnsi" w:hAnsiTheme="minorHAnsi"/>
                <w:sz w:val="24"/>
                <w:szCs w:val="24"/>
              </w:rPr>
              <w:t>Term Sheet: Seed Preferred</w:t>
            </w:r>
          </w:p>
          <w:p w:rsidR="00C3229C" w:rsidRPr="0097012A" w:rsidRDefault="00C3229C">
            <w:pPr>
              <w:rPr>
                <w:rFonts w:asciiTheme="minorHAnsi" w:hAnsiTheme="minorHAnsi"/>
                <w:sz w:val="24"/>
                <w:szCs w:val="24"/>
              </w:rPr>
            </w:pPr>
          </w:p>
          <w:p w:rsidR="00EC2254" w:rsidRPr="0097012A" w:rsidRDefault="00EC2254">
            <w:pPr>
              <w:rPr>
                <w:rFonts w:asciiTheme="minorHAnsi" w:hAnsiTheme="minorHAnsi"/>
                <w:sz w:val="24"/>
                <w:szCs w:val="24"/>
              </w:rPr>
            </w:pPr>
            <w:r w:rsidRPr="0097012A">
              <w:rPr>
                <w:rFonts w:asciiTheme="minorHAnsi" w:hAnsiTheme="minorHAnsi"/>
                <w:sz w:val="24"/>
                <w:szCs w:val="24"/>
              </w:rPr>
              <w:t>Term Sheet: Convertible Notes</w:t>
            </w:r>
          </w:p>
          <w:p w:rsidR="00EC2254" w:rsidRPr="0097012A" w:rsidRDefault="00EC2254">
            <w:pPr>
              <w:rPr>
                <w:rFonts w:asciiTheme="minorHAnsi" w:hAnsiTheme="minorHAnsi"/>
                <w:sz w:val="24"/>
                <w:szCs w:val="24"/>
              </w:rPr>
            </w:pP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September 23</w:t>
            </w:r>
          </w:p>
        </w:tc>
        <w:tc>
          <w:tcPr>
            <w:tcW w:w="2340" w:type="dxa"/>
          </w:tcPr>
          <w:p w:rsidR="00625A25" w:rsidRPr="0097012A" w:rsidRDefault="002A4414" w:rsidP="00E82879">
            <w:pPr>
              <w:rPr>
                <w:rFonts w:asciiTheme="minorHAnsi" w:hAnsiTheme="minorHAnsi"/>
                <w:sz w:val="24"/>
                <w:szCs w:val="24"/>
              </w:rPr>
            </w:pPr>
            <w:r w:rsidRPr="0097012A">
              <w:rPr>
                <w:rFonts w:asciiTheme="minorHAnsi" w:hAnsiTheme="minorHAnsi"/>
                <w:sz w:val="24"/>
                <w:szCs w:val="24"/>
              </w:rPr>
              <w:t>Themes: IP Protection, Employment, Equity Incentives</w:t>
            </w:r>
          </w:p>
        </w:tc>
        <w:tc>
          <w:tcPr>
            <w:tcW w:w="6570" w:type="dxa"/>
          </w:tcPr>
          <w:p w:rsidR="002A4414" w:rsidRPr="0097012A" w:rsidRDefault="002A4414" w:rsidP="004044B0">
            <w:pPr>
              <w:pStyle w:val="ListParagraph"/>
              <w:numPr>
                <w:ilvl w:val="0"/>
                <w:numId w:val="6"/>
              </w:numPr>
              <w:rPr>
                <w:rFonts w:asciiTheme="minorHAnsi" w:hAnsiTheme="minorHAnsi"/>
                <w:sz w:val="24"/>
                <w:szCs w:val="24"/>
              </w:rPr>
            </w:pPr>
            <w:r w:rsidRPr="0097012A">
              <w:rPr>
                <w:rFonts w:asciiTheme="minorHAnsi" w:hAnsiTheme="minorHAnsi"/>
                <w:sz w:val="24"/>
                <w:szCs w:val="24"/>
              </w:rPr>
              <w:t>Intellectual Property Protection</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Patents</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Copyrights</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Trademarks</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Trade Secrets</w:t>
            </w:r>
          </w:p>
          <w:p w:rsidR="002A4414" w:rsidRPr="0097012A" w:rsidRDefault="002A4414" w:rsidP="004044B0">
            <w:pPr>
              <w:pStyle w:val="ListParagraph"/>
              <w:numPr>
                <w:ilvl w:val="0"/>
                <w:numId w:val="6"/>
              </w:numPr>
              <w:rPr>
                <w:rFonts w:asciiTheme="minorHAnsi" w:hAnsiTheme="minorHAnsi"/>
                <w:sz w:val="24"/>
                <w:szCs w:val="24"/>
              </w:rPr>
            </w:pPr>
            <w:r w:rsidRPr="0097012A">
              <w:rPr>
                <w:rFonts w:asciiTheme="minorHAnsi" w:hAnsiTheme="minorHAnsi"/>
                <w:sz w:val="24"/>
                <w:szCs w:val="24"/>
              </w:rPr>
              <w:t>Employment</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 xml:space="preserve">Employees </w:t>
            </w:r>
            <w:proofErr w:type="spellStart"/>
            <w:r w:rsidRPr="0097012A">
              <w:rPr>
                <w:rFonts w:asciiTheme="minorHAnsi" w:hAnsiTheme="minorHAnsi"/>
                <w:sz w:val="24"/>
                <w:szCs w:val="24"/>
              </w:rPr>
              <w:t>vs</w:t>
            </w:r>
            <w:proofErr w:type="spellEnd"/>
            <w:r w:rsidRPr="0097012A">
              <w:rPr>
                <w:rFonts w:asciiTheme="minorHAnsi" w:hAnsiTheme="minorHAnsi"/>
                <w:sz w:val="24"/>
                <w:szCs w:val="24"/>
              </w:rPr>
              <w:t xml:space="preserve"> Independent Contractor</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 xml:space="preserve">At-Will </w:t>
            </w:r>
            <w:proofErr w:type="spellStart"/>
            <w:r w:rsidRPr="0097012A">
              <w:rPr>
                <w:rFonts w:asciiTheme="minorHAnsi" w:hAnsiTheme="minorHAnsi"/>
                <w:sz w:val="24"/>
                <w:szCs w:val="24"/>
              </w:rPr>
              <w:t>vs</w:t>
            </w:r>
            <w:proofErr w:type="spellEnd"/>
            <w:r w:rsidRPr="0097012A">
              <w:rPr>
                <w:rFonts w:asciiTheme="minorHAnsi" w:hAnsiTheme="minorHAnsi"/>
                <w:sz w:val="24"/>
                <w:szCs w:val="24"/>
              </w:rPr>
              <w:t xml:space="preserve"> Term</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Proprietary Information and Invention Assignment Agreement</w:t>
            </w:r>
          </w:p>
          <w:p w:rsidR="002A4414" w:rsidRPr="0097012A" w:rsidRDefault="002A4414" w:rsidP="002A4414">
            <w:pPr>
              <w:pStyle w:val="ListParagraph"/>
              <w:numPr>
                <w:ilvl w:val="2"/>
                <w:numId w:val="6"/>
              </w:numPr>
              <w:rPr>
                <w:rFonts w:asciiTheme="minorHAnsi" w:hAnsiTheme="minorHAnsi"/>
                <w:sz w:val="24"/>
                <w:szCs w:val="24"/>
              </w:rPr>
            </w:pPr>
            <w:r w:rsidRPr="0097012A">
              <w:rPr>
                <w:rFonts w:asciiTheme="minorHAnsi" w:hAnsiTheme="minorHAnsi"/>
                <w:sz w:val="24"/>
                <w:szCs w:val="24"/>
              </w:rPr>
              <w:t>Assignment of IP (scope)</w:t>
            </w:r>
          </w:p>
          <w:p w:rsidR="002A4414" w:rsidRPr="0097012A" w:rsidRDefault="002A4414" w:rsidP="002A4414">
            <w:pPr>
              <w:pStyle w:val="ListParagraph"/>
              <w:numPr>
                <w:ilvl w:val="2"/>
                <w:numId w:val="6"/>
              </w:numPr>
              <w:rPr>
                <w:rFonts w:asciiTheme="minorHAnsi" w:hAnsiTheme="minorHAnsi"/>
                <w:sz w:val="24"/>
                <w:szCs w:val="24"/>
              </w:rPr>
            </w:pPr>
            <w:r w:rsidRPr="0097012A">
              <w:rPr>
                <w:rFonts w:asciiTheme="minorHAnsi" w:hAnsiTheme="minorHAnsi"/>
                <w:sz w:val="24"/>
                <w:szCs w:val="24"/>
              </w:rPr>
              <w:t>Non-solicitation</w:t>
            </w:r>
          </w:p>
          <w:p w:rsidR="002A4414" w:rsidRPr="0097012A" w:rsidRDefault="002A4414" w:rsidP="002A4414">
            <w:pPr>
              <w:pStyle w:val="ListParagraph"/>
              <w:numPr>
                <w:ilvl w:val="2"/>
                <w:numId w:val="6"/>
              </w:numPr>
              <w:rPr>
                <w:rFonts w:asciiTheme="minorHAnsi" w:hAnsiTheme="minorHAnsi"/>
                <w:sz w:val="24"/>
                <w:szCs w:val="24"/>
              </w:rPr>
            </w:pPr>
            <w:r w:rsidRPr="0097012A">
              <w:rPr>
                <w:rFonts w:asciiTheme="minorHAnsi" w:hAnsiTheme="minorHAnsi"/>
                <w:sz w:val="24"/>
                <w:szCs w:val="24"/>
              </w:rPr>
              <w:t>Non-competition</w:t>
            </w:r>
          </w:p>
          <w:p w:rsidR="002A4414" w:rsidRPr="0097012A" w:rsidRDefault="002A4414" w:rsidP="004044B0">
            <w:pPr>
              <w:pStyle w:val="ListParagraph"/>
              <w:numPr>
                <w:ilvl w:val="0"/>
                <w:numId w:val="6"/>
              </w:numPr>
              <w:rPr>
                <w:rFonts w:asciiTheme="minorHAnsi" w:hAnsiTheme="minorHAnsi"/>
                <w:sz w:val="24"/>
                <w:szCs w:val="24"/>
              </w:rPr>
            </w:pPr>
            <w:r w:rsidRPr="0097012A">
              <w:rPr>
                <w:rFonts w:asciiTheme="minorHAnsi" w:hAnsiTheme="minorHAnsi"/>
                <w:sz w:val="24"/>
                <w:szCs w:val="24"/>
              </w:rPr>
              <w:t>Equity Incentives</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 xml:space="preserve">Options </w:t>
            </w:r>
            <w:proofErr w:type="spellStart"/>
            <w:r w:rsidRPr="0097012A">
              <w:rPr>
                <w:rFonts w:asciiTheme="minorHAnsi" w:hAnsiTheme="minorHAnsi"/>
                <w:sz w:val="24"/>
                <w:szCs w:val="24"/>
              </w:rPr>
              <w:t>vs</w:t>
            </w:r>
            <w:proofErr w:type="spellEnd"/>
            <w:r w:rsidRPr="0097012A">
              <w:rPr>
                <w:rFonts w:asciiTheme="minorHAnsi" w:hAnsiTheme="minorHAnsi"/>
                <w:sz w:val="24"/>
                <w:szCs w:val="24"/>
              </w:rPr>
              <w:t xml:space="preserve"> Stock</w:t>
            </w:r>
          </w:p>
          <w:p w:rsidR="002A4414"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 xml:space="preserve">NSO </w:t>
            </w:r>
            <w:proofErr w:type="spellStart"/>
            <w:r w:rsidRPr="0097012A">
              <w:rPr>
                <w:rFonts w:asciiTheme="minorHAnsi" w:hAnsiTheme="minorHAnsi"/>
                <w:sz w:val="24"/>
                <w:szCs w:val="24"/>
              </w:rPr>
              <w:t>vs</w:t>
            </w:r>
            <w:proofErr w:type="spellEnd"/>
            <w:r w:rsidRPr="0097012A">
              <w:rPr>
                <w:rFonts w:asciiTheme="minorHAnsi" w:hAnsiTheme="minorHAnsi"/>
                <w:sz w:val="24"/>
                <w:szCs w:val="24"/>
              </w:rPr>
              <w:t xml:space="preserve"> ISO</w:t>
            </w:r>
          </w:p>
          <w:p w:rsidR="00625A25" w:rsidRPr="0097012A" w:rsidRDefault="002A4414" w:rsidP="002A4414">
            <w:pPr>
              <w:pStyle w:val="ListParagraph"/>
              <w:numPr>
                <w:ilvl w:val="1"/>
                <w:numId w:val="6"/>
              </w:numPr>
              <w:rPr>
                <w:rFonts w:asciiTheme="minorHAnsi" w:hAnsiTheme="minorHAnsi"/>
                <w:sz w:val="24"/>
                <w:szCs w:val="24"/>
              </w:rPr>
            </w:pPr>
            <w:r w:rsidRPr="0097012A">
              <w:rPr>
                <w:rFonts w:asciiTheme="minorHAnsi" w:hAnsiTheme="minorHAnsi"/>
                <w:sz w:val="24"/>
                <w:szCs w:val="24"/>
              </w:rPr>
              <w:t>Vesting (acceleration provisions)</w:t>
            </w:r>
          </w:p>
          <w:p w:rsidR="00AE63B1" w:rsidRPr="0097012A" w:rsidRDefault="00AE63B1" w:rsidP="002A4414">
            <w:pPr>
              <w:pStyle w:val="ListParagraph"/>
              <w:rPr>
                <w:rFonts w:asciiTheme="minorHAnsi" w:hAnsiTheme="minorHAnsi"/>
                <w:sz w:val="24"/>
                <w:szCs w:val="24"/>
              </w:rPr>
            </w:pPr>
          </w:p>
        </w:tc>
        <w:tc>
          <w:tcPr>
            <w:tcW w:w="2430" w:type="dxa"/>
          </w:tcPr>
          <w:p w:rsidR="0037301E" w:rsidRDefault="0037301E" w:rsidP="0037301E">
            <w:pPr>
              <w:rPr>
                <w:rFonts w:asciiTheme="minorHAnsi" w:hAnsiTheme="minorHAnsi"/>
                <w:sz w:val="24"/>
                <w:szCs w:val="24"/>
              </w:rPr>
            </w:pPr>
            <w:r w:rsidRPr="0037301E">
              <w:rPr>
                <w:rFonts w:asciiTheme="minorHAnsi" w:hAnsiTheme="minorHAnsi"/>
                <w:i/>
                <w:sz w:val="24"/>
                <w:szCs w:val="24"/>
              </w:rPr>
              <w:t>Venture Deals</w:t>
            </w:r>
            <w:r>
              <w:rPr>
                <w:rFonts w:asciiTheme="minorHAnsi" w:hAnsiTheme="minorHAnsi"/>
                <w:sz w:val="24"/>
                <w:szCs w:val="24"/>
              </w:rPr>
              <w:t>: Chapter 1</w:t>
            </w:r>
          </w:p>
          <w:p w:rsidR="0037301E" w:rsidRDefault="0037301E" w:rsidP="0037301E">
            <w:pPr>
              <w:rPr>
                <w:rFonts w:asciiTheme="minorHAnsi" w:hAnsiTheme="minorHAnsi"/>
                <w:sz w:val="24"/>
                <w:szCs w:val="24"/>
              </w:rPr>
            </w:pPr>
          </w:p>
          <w:p w:rsidR="005E6ED6" w:rsidRPr="00E02F62" w:rsidRDefault="005E6ED6" w:rsidP="005E6ED6">
            <w:pPr>
              <w:rPr>
                <w:rFonts w:asciiTheme="minorHAnsi" w:hAnsiTheme="minorHAnsi"/>
                <w:sz w:val="24"/>
                <w:szCs w:val="24"/>
              </w:rPr>
            </w:pPr>
            <w:r w:rsidRPr="0037301E">
              <w:rPr>
                <w:rFonts w:asciiTheme="minorHAnsi" w:hAnsiTheme="minorHAnsi"/>
                <w:i/>
                <w:sz w:val="24"/>
                <w:szCs w:val="24"/>
              </w:rPr>
              <w:t xml:space="preserve">The Entrepreneur’s Guide: </w:t>
            </w:r>
            <w:r>
              <w:rPr>
                <w:rFonts w:asciiTheme="minorHAnsi" w:hAnsiTheme="minorHAnsi"/>
                <w:sz w:val="24"/>
                <w:szCs w:val="24"/>
              </w:rPr>
              <w:t xml:space="preserve">Chapter 5 – Structuring the Ownership </w:t>
            </w:r>
            <w:r w:rsidRPr="005E6ED6">
              <w:rPr>
                <w:rFonts w:asciiTheme="minorHAnsi" w:hAnsiTheme="minorHAnsi"/>
                <w:sz w:val="24"/>
                <w:szCs w:val="24"/>
              </w:rPr>
              <w:t>(</w:t>
            </w:r>
            <w:r>
              <w:rPr>
                <w:rFonts w:asciiTheme="minorHAnsi" w:hAnsiTheme="minorHAnsi"/>
                <w:sz w:val="24"/>
                <w:szCs w:val="24"/>
              </w:rPr>
              <w:t xml:space="preserve">only </w:t>
            </w:r>
            <w:r w:rsidRPr="005E6ED6">
              <w:rPr>
                <w:rFonts w:asciiTheme="minorHAnsi" w:hAnsiTheme="minorHAnsi"/>
                <w:sz w:val="24"/>
                <w:szCs w:val="24"/>
              </w:rPr>
              <w:t>Tax Treatment of Founders’ Stock and Employee Stock Options)</w:t>
            </w:r>
            <w:r w:rsidR="00E02F62">
              <w:rPr>
                <w:rFonts w:asciiTheme="minorHAnsi" w:hAnsiTheme="minorHAnsi"/>
                <w:sz w:val="24"/>
                <w:szCs w:val="24"/>
              </w:rPr>
              <w:t>; Chapter 8 – Marshaling Human Resources</w:t>
            </w:r>
            <w:r w:rsidR="0053774A">
              <w:rPr>
                <w:rFonts w:asciiTheme="minorHAnsi" w:hAnsiTheme="minorHAnsi"/>
                <w:sz w:val="24"/>
                <w:szCs w:val="24"/>
              </w:rPr>
              <w:t xml:space="preserve">; Chapter 14 – Intellectual Property and </w:t>
            </w:r>
            <w:proofErr w:type="spellStart"/>
            <w:r w:rsidR="0053774A">
              <w:rPr>
                <w:rFonts w:asciiTheme="minorHAnsi" w:hAnsiTheme="minorHAnsi"/>
                <w:sz w:val="24"/>
                <w:szCs w:val="24"/>
              </w:rPr>
              <w:t>Cyberlaw</w:t>
            </w:r>
            <w:proofErr w:type="spellEnd"/>
          </w:p>
          <w:p w:rsidR="0037301E" w:rsidRDefault="0037301E">
            <w:pPr>
              <w:rPr>
                <w:rFonts w:asciiTheme="minorHAnsi" w:hAnsiTheme="minorHAnsi"/>
                <w:sz w:val="24"/>
                <w:szCs w:val="24"/>
              </w:rPr>
            </w:pPr>
          </w:p>
          <w:p w:rsidR="002A4414" w:rsidRPr="0097012A" w:rsidRDefault="002A4414">
            <w:pPr>
              <w:rPr>
                <w:rFonts w:asciiTheme="minorHAnsi" w:hAnsiTheme="minorHAnsi"/>
                <w:sz w:val="24"/>
                <w:szCs w:val="24"/>
              </w:rPr>
            </w:pP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 xml:space="preserve">September </w:t>
            </w:r>
            <w:r w:rsidRPr="0097012A">
              <w:rPr>
                <w:rFonts w:asciiTheme="minorHAnsi" w:hAnsiTheme="minorHAnsi"/>
                <w:sz w:val="24"/>
                <w:szCs w:val="24"/>
              </w:rPr>
              <w:lastRenderedPageBreak/>
              <w:t>30</w:t>
            </w:r>
          </w:p>
        </w:tc>
        <w:tc>
          <w:tcPr>
            <w:tcW w:w="2340" w:type="dxa"/>
          </w:tcPr>
          <w:p w:rsidR="00625A25" w:rsidRPr="0097012A" w:rsidRDefault="00C33D7A" w:rsidP="00C33D7A">
            <w:pPr>
              <w:rPr>
                <w:rFonts w:asciiTheme="minorHAnsi" w:hAnsiTheme="minorHAnsi"/>
                <w:sz w:val="24"/>
                <w:szCs w:val="24"/>
              </w:rPr>
            </w:pPr>
            <w:r w:rsidRPr="0097012A">
              <w:rPr>
                <w:rFonts w:asciiTheme="minorHAnsi" w:hAnsiTheme="minorHAnsi"/>
                <w:sz w:val="24"/>
                <w:szCs w:val="24"/>
              </w:rPr>
              <w:lastRenderedPageBreak/>
              <w:t xml:space="preserve">Series A Financing: </w:t>
            </w:r>
            <w:r w:rsidRPr="0097012A">
              <w:rPr>
                <w:rFonts w:asciiTheme="minorHAnsi" w:hAnsiTheme="minorHAnsi"/>
                <w:sz w:val="24"/>
                <w:szCs w:val="24"/>
              </w:rPr>
              <w:lastRenderedPageBreak/>
              <w:t>Part I</w:t>
            </w:r>
          </w:p>
        </w:tc>
        <w:tc>
          <w:tcPr>
            <w:tcW w:w="6570" w:type="dxa"/>
          </w:tcPr>
          <w:p w:rsidR="00625A25" w:rsidRPr="0097012A" w:rsidRDefault="008F0829" w:rsidP="00C33D7A">
            <w:pPr>
              <w:pStyle w:val="ListParagraph"/>
              <w:numPr>
                <w:ilvl w:val="0"/>
                <w:numId w:val="8"/>
              </w:numPr>
              <w:rPr>
                <w:rFonts w:asciiTheme="minorHAnsi" w:hAnsiTheme="minorHAnsi"/>
                <w:sz w:val="24"/>
                <w:szCs w:val="24"/>
              </w:rPr>
            </w:pPr>
            <w:r>
              <w:rPr>
                <w:rFonts w:asciiTheme="minorHAnsi" w:hAnsiTheme="minorHAnsi"/>
                <w:sz w:val="24"/>
                <w:szCs w:val="24"/>
              </w:rPr>
              <w:lastRenderedPageBreak/>
              <w:t xml:space="preserve">Venture Capital </w:t>
            </w:r>
            <w:r w:rsidR="00C33D7A" w:rsidRPr="0097012A">
              <w:rPr>
                <w:rFonts w:asciiTheme="minorHAnsi" w:hAnsiTheme="minorHAnsi"/>
                <w:sz w:val="24"/>
                <w:szCs w:val="24"/>
              </w:rPr>
              <w:t>Term Sheet</w:t>
            </w:r>
          </w:p>
          <w:p w:rsidR="007204A0" w:rsidRPr="0097012A" w:rsidRDefault="007204A0" w:rsidP="00C33D7A">
            <w:pPr>
              <w:pStyle w:val="ListParagraph"/>
              <w:numPr>
                <w:ilvl w:val="0"/>
                <w:numId w:val="8"/>
              </w:numPr>
              <w:rPr>
                <w:rFonts w:asciiTheme="minorHAnsi" w:hAnsiTheme="minorHAnsi"/>
                <w:sz w:val="24"/>
                <w:szCs w:val="24"/>
              </w:rPr>
            </w:pPr>
            <w:r w:rsidRPr="0097012A">
              <w:rPr>
                <w:rFonts w:asciiTheme="minorHAnsi" w:hAnsiTheme="minorHAnsi"/>
                <w:sz w:val="24"/>
                <w:szCs w:val="24"/>
              </w:rPr>
              <w:lastRenderedPageBreak/>
              <w:t>Venture Math</w:t>
            </w:r>
          </w:p>
        </w:tc>
        <w:tc>
          <w:tcPr>
            <w:tcW w:w="2430" w:type="dxa"/>
          </w:tcPr>
          <w:p w:rsidR="0037301E" w:rsidRDefault="0037301E" w:rsidP="0037301E">
            <w:pPr>
              <w:rPr>
                <w:rFonts w:asciiTheme="minorHAnsi" w:hAnsiTheme="minorHAnsi"/>
                <w:sz w:val="24"/>
                <w:szCs w:val="24"/>
              </w:rPr>
            </w:pPr>
            <w:r w:rsidRPr="0037301E">
              <w:rPr>
                <w:rFonts w:asciiTheme="minorHAnsi" w:hAnsiTheme="minorHAnsi"/>
                <w:i/>
                <w:sz w:val="24"/>
                <w:szCs w:val="24"/>
              </w:rPr>
              <w:lastRenderedPageBreak/>
              <w:t>Venture Deals</w:t>
            </w:r>
            <w:r>
              <w:rPr>
                <w:rFonts w:asciiTheme="minorHAnsi" w:hAnsiTheme="minorHAnsi"/>
                <w:sz w:val="24"/>
                <w:szCs w:val="24"/>
              </w:rPr>
              <w:t xml:space="preserve">: </w:t>
            </w:r>
            <w:r w:rsidR="00E02F62">
              <w:rPr>
                <w:rFonts w:asciiTheme="minorHAnsi" w:hAnsiTheme="minorHAnsi"/>
                <w:sz w:val="24"/>
                <w:szCs w:val="24"/>
              </w:rPr>
              <w:lastRenderedPageBreak/>
              <w:t>Chapters 3, 4, 5 and 6</w:t>
            </w:r>
          </w:p>
          <w:p w:rsidR="0037301E" w:rsidRDefault="0037301E" w:rsidP="0037301E">
            <w:pPr>
              <w:rPr>
                <w:rFonts w:asciiTheme="minorHAnsi" w:hAnsiTheme="minorHAnsi"/>
                <w:sz w:val="24"/>
                <w:szCs w:val="24"/>
              </w:rPr>
            </w:pPr>
          </w:p>
          <w:p w:rsidR="0037301E" w:rsidRPr="005E6ED6" w:rsidRDefault="0037301E" w:rsidP="0037301E">
            <w:pPr>
              <w:rPr>
                <w:rFonts w:asciiTheme="minorHAnsi" w:hAnsiTheme="minorHAnsi"/>
                <w:sz w:val="24"/>
                <w:szCs w:val="24"/>
              </w:rPr>
            </w:pPr>
            <w:r w:rsidRPr="0037301E">
              <w:rPr>
                <w:rFonts w:asciiTheme="minorHAnsi" w:hAnsiTheme="minorHAnsi"/>
                <w:i/>
                <w:sz w:val="24"/>
                <w:szCs w:val="24"/>
              </w:rPr>
              <w:t xml:space="preserve">The Entrepreneur’s Guide: </w:t>
            </w:r>
            <w:r w:rsidR="008F0829">
              <w:rPr>
                <w:rFonts w:asciiTheme="minorHAnsi" w:hAnsiTheme="minorHAnsi"/>
                <w:sz w:val="24"/>
                <w:szCs w:val="24"/>
              </w:rPr>
              <w:t>Chapter 13 – Venture Capital (pp 458-473)</w:t>
            </w:r>
          </w:p>
          <w:p w:rsidR="0037301E" w:rsidRDefault="0037301E">
            <w:pPr>
              <w:rPr>
                <w:rFonts w:asciiTheme="minorHAnsi" w:hAnsiTheme="minorHAnsi"/>
                <w:sz w:val="24"/>
                <w:szCs w:val="24"/>
              </w:rPr>
            </w:pPr>
          </w:p>
          <w:p w:rsidR="00625A25" w:rsidRPr="0097012A" w:rsidRDefault="00C33D7A">
            <w:pPr>
              <w:rPr>
                <w:rFonts w:asciiTheme="minorHAnsi" w:hAnsiTheme="minorHAnsi"/>
                <w:sz w:val="24"/>
                <w:szCs w:val="24"/>
              </w:rPr>
            </w:pPr>
            <w:r w:rsidRPr="0097012A">
              <w:rPr>
                <w:rFonts w:asciiTheme="minorHAnsi" w:hAnsiTheme="minorHAnsi"/>
                <w:sz w:val="24"/>
                <w:szCs w:val="24"/>
              </w:rPr>
              <w:t>NVCA Form of Term Sheet</w:t>
            </w:r>
          </w:p>
          <w:p w:rsidR="00C33D7A" w:rsidRPr="0097012A" w:rsidRDefault="00C33D7A" w:rsidP="00110392">
            <w:pPr>
              <w:rPr>
                <w:rFonts w:asciiTheme="minorHAnsi" w:hAnsiTheme="minorHAnsi"/>
                <w:sz w:val="24"/>
                <w:szCs w:val="24"/>
              </w:rPr>
            </w:pP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October 7</w:t>
            </w:r>
          </w:p>
        </w:tc>
        <w:tc>
          <w:tcPr>
            <w:tcW w:w="2340" w:type="dxa"/>
          </w:tcPr>
          <w:p w:rsidR="00625A25" w:rsidRPr="0097012A" w:rsidRDefault="00C33D7A" w:rsidP="00C33D7A">
            <w:pPr>
              <w:rPr>
                <w:rFonts w:asciiTheme="minorHAnsi" w:hAnsiTheme="minorHAnsi"/>
                <w:sz w:val="24"/>
                <w:szCs w:val="24"/>
              </w:rPr>
            </w:pPr>
            <w:r w:rsidRPr="0097012A">
              <w:rPr>
                <w:rFonts w:asciiTheme="minorHAnsi" w:hAnsiTheme="minorHAnsi"/>
                <w:sz w:val="24"/>
                <w:szCs w:val="24"/>
              </w:rPr>
              <w:t>Series A Financing: Part II</w:t>
            </w:r>
          </w:p>
        </w:tc>
        <w:tc>
          <w:tcPr>
            <w:tcW w:w="6570" w:type="dxa"/>
          </w:tcPr>
          <w:p w:rsidR="00C33D7A" w:rsidRPr="0097012A" w:rsidRDefault="00C33D7A" w:rsidP="00C33D7A">
            <w:pPr>
              <w:pStyle w:val="ListParagraph"/>
              <w:numPr>
                <w:ilvl w:val="0"/>
                <w:numId w:val="7"/>
              </w:numPr>
              <w:rPr>
                <w:rFonts w:asciiTheme="minorHAnsi" w:hAnsiTheme="minorHAnsi"/>
                <w:sz w:val="24"/>
                <w:szCs w:val="24"/>
              </w:rPr>
            </w:pPr>
            <w:r w:rsidRPr="0097012A">
              <w:rPr>
                <w:rFonts w:asciiTheme="minorHAnsi" w:hAnsiTheme="minorHAnsi"/>
                <w:sz w:val="24"/>
                <w:szCs w:val="24"/>
              </w:rPr>
              <w:t>Due Diligence</w:t>
            </w:r>
          </w:p>
          <w:p w:rsidR="00C33D7A" w:rsidRPr="0097012A" w:rsidRDefault="00C33D7A" w:rsidP="0059277A">
            <w:pPr>
              <w:pStyle w:val="ListParagraph"/>
              <w:numPr>
                <w:ilvl w:val="0"/>
                <w:numId w:val="7"/>
              </w:numPr>
              <w:rPr>
                <w:rFonts w:asciiTheme="minorHAnsi" w:hAnsiTheme="minorHAnsi"/>
                <w:sz w:val="24"/>
                <w:szCs w:val="24"/>
              </w:rPr>
            </w:pPr>
            <w:r w:rsidRPr="0097012A">
              <w:rPr>
                <w:rFonts w:asciiTheme="minorHAnsi" w:hAnsiTheme="minorHAnsi"/>
                <w:sz w:val="24"/>
                <w:szCs w:val="24"/>
              </w:rPr>
              <w:t>Series A Preferred Stock Purchase Agreement &amp; Disclosure Schedules</w:t>
            </w:r>
          </w:p>
          <w:p w:rsidR="0059277A" w:rsidRPr="0097012A" w:rsidRDefault="0059277A" w:rsidP="0059277A">
            <w:pPr>
              <w:pStyle w:val="ListParagraph"/>
              <w:numPr>
                <w:ilvl w:val="1"/>
                <w:numId w:val="7"/>
              </w:numPr>
              <w:rPr>
                <w:rFonts w:asciiTheme="minorHAnsi" w:hAnsiTheme="minorHAnsi"/>
                <w:sz w:val="24"/>
                <w:szCs w:val="24"/>
              </w:rPr>
            </w:pPr>
            <w:r w:rsidRPr="0097012A">
              <w:rPr>
                <w:rFonts w:asciiTheme="minorHAnsi" w:hAnsiTheme="minorHAnsi"/>
                <w:sz w:val="24"/>
                <w:szCs w:val="24"/>
              </w:rPr>
              <w:t>“Knowledge”</w:t>
            </w:r>
          </w:p>
          <w:p w:rsidR="0059277A" w:rsidRPr="0097012A" w:rsidRDefault="0059277A" w:rsidP="0059277A">
            <w:pPr>
              <w:pStyle w:val="ListParagraph"/>
              <w:numPr>
                <w:ilvl w:val="1"/>
                <w:numId w:val="7"/>
              </w:numPr>
              <w:rPr>
                <w:rFonts w:asciiTheme="minorHAnsi" w:hAnsiTheme="minorHAnsi"/>
                <w:sz w:val="24"/>
                <w:szCs w:val="24"/>
              </w:rPr>
            </w:pPr>
            <w:r w:rsidRPr="0097012A">
              <w:rPr>
                <w:rFonts w:asciiTheme="minorHAnsi" w:hAnsiTheme="minorHAnsi"/>
                <w:sz w:val="24"/>
                <w:szCs w:val="24"/>
              </w:rPr>
              <w:t>“Materiality” versus “Material Adverse Effect”</w:t>
            </w:r>
          </w:p>
          <w:p w:rsidR="0059277A" w:rsidRPr="0097012A" w:rsidRDefault="0059277A" w:rsidP="0059277A">
            <w:pPr>
              <w:pStyle w:val="ListParagraph"/>
              <w:numPr>
                <w:ilvl w:val="1"/>
                <w:numId w:val="7"/>
              </w:numPr>
              <w:rPr>
                <w:rFonts w:asciiTheme="minorHAnsi" w:hAnsiTheme="minorHAnsi"/>
                <w:sz w:val="24"/>
                <w:szCs w:val="24"/>
              </w:rPr>
            </w:pPr>
            <w:r w:rsidRPr="0097012A">
              <w:rPr>
                <w:rFonts w:asciiTheme="minorHAnsi" w:hAnsiTheme="minorHAnsi"/>
                <w:sz w:val="24"/>
                <w:szCs w:val="24"/>
              </w:rPr>
              <w:t>Closing Conditions</w:t>
            </w:r>
          </w:p>
          <w:p w:rsidR="0059277A" w:rsidRPr="0097012A" w:rsidRDefault="0059277A" w:rsidP="0059277A">
            <w:pPr>
              <w:pStyle w:val="ListParagraph"/>
              <w:numPr>
                <w:ilvl w:val="0"/>
                <w:numId w:val="7"/>
              </w:numPr>
              <w:rPr>
                <w:rFonts w:asciiTheme="minorHAnsi" w:hAnsiTheme="minorHAnsi"/>
                <w:sz w:val="24"/>
                <w:szCs w:val="24"/>
              </w:rPr>
            </w:pPr>
            <w:r w:rsidRPr="0097012A">
              <w:rPr>
                <w:rFonts w:asciiTheme="minorHAnsi" w:hAnsiTheme="minorHAnsi"/>
                <w:sz w:val="24"/>
                <w:szCs w:val="24"/>
              </w:rPr>
              <w:t>Legal Opinion</w:t>
            </w:r>
          </w:p>
          <w:p w:rsidR="00C33D7A" w:rsidRPr="0097012A" w:rsidRDefault="00C33D7A" w:rsidP="00C33D7A">
            <w:pPr>
              <w:pStyle w:val="ListParagraph"/>
              <w:rPr>
                <w:rFonts w:asciiTheme="minorHAnsi" w:hAnsiTheme="minorHAnsi"/>
                <w:sz w:val="24"/>
                <w:szCs w:val="24"/>
              </w:rPr>
            </w:pPr>
          </w:p>
        </w:tc>
        <w:tc>
          <w:tcPr>
            <w:tcW w:w="2430" w:type="dxa"/>
          </w:tcPr>
          <w:p w:rsidR="00110392" w:rsidRDefault="00110392">
            <w:pPr>
              <w:rPr>
                <w:rFonts w:asciiTheme="minorHAnsi" w:hAnsiTheme="minorHAnsi"/>
                <w:sz w:val="24"/>
                <w:szCs w:val="24"/>
              </w:rPr>
            </w:pPr>
            <w:r w:rsidRPr="0037301E">
              <w:rPr>
                <w:rFonts w:asciiTheme="minorHAnsi" w:hAnsiTheme="minorHAnsi"/>
                <w:i/>
                <w:sz w:val="24"/>
                <w:szCs w:val="24"/>
              </w:rPr>
              <w:t xml:space="preserve">The Entrepreneur’s Guide: </w:t>
            </w:r>
            <w:r>
              <w:rPr>
                <w:rFonts w:asciiTheme="minorHAnsi" w:hAnsiTheme="minorHAnsi"/>
                <w:sz w:val="24"/>
                <w:szCs w:val="24"/>
              </w:rPr>
              <w:t>Chapter 7 – Raising Money and Securities Regulation;</w:t>
            </w:r>
          </w:p>
          <w:p w:rsidR="00110392" w:rsidRDefault="00110392">
            <w:pPr>
              <w:rPr>
                <w:rFonts w:asciiTheme="minorHAnsi" w:hAnsiTheme="minorHAnsi"/>
                <w:sz w:val="24"/>
                <w:szCs w:val="24"/>
              </w:rPr>
            </w:pPr>
          </w:p>
          <w:p w:rsidR="00C33D7A" w:rsidRPr="0097012A" w:rsidRDefault="00C33D7A">
            <w:pPr>
              <w:rPr>
                <w:rFonts w:asciiTheme="minorHAnsi" w:hAnsiTheme="minorHAnsi"/>
                <w:sz w:val="24"/>
                <w:szCs w:val="24"/>
              </w:rPr>
            </w:pPr>
            <w:r w:rsidRPr="0097012A">
              <w:rPr>
                <w:rFonts w:asciiTheme="minorHAnsi" w:hAnsiTheme="minorHAnsi"/>
                <w:sz w:val="24"/>
                <w:szCs w:val="24"/>
              </w:rPr>
              <w:t>Due Diligence Request List</w:t>
            </w:r>
          </w:p>
          <w:p w:rsidR="00C33D7A" w:rsidRPr="0097012A" w:rsidRDefault="00C33D7A">
            <w:pPr>
              <w:rPr>
                <w:rFonts w:asciiTheme="minorHAnsi" w:hAnsiTheme="minorHAnsi"/>
                <w:sz w:val="24"/>
                <w:szCs w:val="24"/>
              </w:rPr>
            </w:pPr>
            <w:bookmarkStart w:id="1" w:name="_GoBack"/>
            <w:bookmarkEnd w:id="1"/>
          </w:p>
          <w:p w:rsidR="00A43DF6" w:rsidRPr="0097012A" w:rsidRDefault="00C33D7A" w:rsidP="00110392">
            <w:pPr>
              <w:rPr>
                <w:rFonts w:asciiTheme="minorHAnsi" w:hAnsiTheme="minorHAnsi"/>
                <w:sz w:val="24"/>
                <w:szCs w:val="24"/>
              </w:rPr>
            </w:pPr>
            <w:r w:rsidRPr="0097012A">
              <w:rPr>
                <w:rFonts w:asciiTheme="minorHAnsi" w:hAnsiTheme="minorHAnsi"/>
                <w:sz w:val="24"/>
                <w:szCs w:val="24"/>
              </w:rPr>
              <w:t>NVCA Form of Stock Purchase Agreement</w:t>
            </w: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October 21</w:t>
            </w:r>
          </w:p>
        </w:tc>
        <w:tc>
          <w:tcPr>
            <w:tcW w:w="2340" w:type="dxa"/>
          </w:tcPr>
          <w:p w:rsidR="00625A25" w:rsidRPr="0097012A" w:rsidRDefault="00C33D7A" w:rsidP="0059277A">
            <w:pPr>
              <w:rPr>
                <w:rFonts w:asciiTheme="minorHAnsi" w:hAnsiTheme="minorHAnsi"/>
                <w:sz w:val="24"/>
                <w:szCs w:val="24"/>
              </w:rPr>
            </w:pPr>
            <w:r w:rsidRPr="0097012A">
              <w:rPr>
                <w:rFonts w:asciiTheme="minorHAnsi" w:hAnsiTheme="minorHAnsi"/>
                <w:sz w:val="24"/>
                <w:szCs w:val="24"/>
              </w:rPr>
              <w:t>Series A Financing: Part III</w:t>
            </w:r>
          </w:p>
          <w:p w:rsidR="0059277A" w:rsidRPr="0097012A" w:rsidRDefault="0059277A" w:rsidP="0059277A">
            <w:pPr>
              <w:rPr>
                <w:rFonts w:asciiTheme="minorHAnsi" w:hAnsiTheme="minorHAnsi"/>
                <w:sz w:val="24"/>
                <w:szCs w:val="24"/>
              </w:rPr>
            </w:pPr>
          </w:p>
        </w:tc>
        <w:tc>
          <w:tcPr>
            <w:tcW w:w="6570" w:type="dxa"/>
          </w:tcPr>
          <w:p w:rsidR="00625A25" w:rsidRPr="0097012A" w:rsidRDefault="0059277A" w:rsidP="0059277A">
            <w:pPr>
              <w:pStyle w:val="ListParagraph"/>
              <w:numPr>
                <w:ilvl w:val="0"/>
                <w:numId w:val="9"/>
              </w:numPr>
              <w:rPr>
                <w:rFonts w:asciiTheme="minorHAnsi" w:hAnsiTheme="minorHAnsi"/>
                <w:sz w:val="24"/>
                <w:szCs w:val="24"/>
              </w:rPr>
            </w:pPr>
            <w:r w:rsidRPr="0097012A">
              <w:rPr>
                <w:rFonts w:asciiTheme="minorHAnsi" w:hAnsiTheme="minorHAnsi"/>
                <w:sz w:val="24"/>
                <w:szCs w:val="24"/>
              </w:rPr>
              <w:t>Amended and Restated Certificate of Incorporation</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Dividends</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 xml:space="preserve">Liquidation Preference (participating </w:t>
            </w:r>
            <w:proofErr w:type="spellStart"/>
            <w:r w:rsidRPr="0097012A">
              <w:rPr>
                <w:rFonts w:asciiTheme="minorHAnsi" w:hAnsiTheme="minorHAnsi"/>
                <w:sz w:val="24"/>
                <w:szCs w:val="24"/>
              </w:rPr>
              <w:t>vs</w:t>
            </w:r>
            <w:proofErr w:type="spellEnd"/>
            <w:r w:rsidRPr="0097012A">
              <w:rPr>
                <w:rFonts w:asciiTheme="minorHAnsi" w:hAnsiTheme="minorHAnsi"/>
                <w:sz w:val="24"/>
                <w:szCs w:val="24"/>
              </w:rPr>
              <w:t xml:space="preserve"> non-participating)</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Board rights</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Veto Rights</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Conversion (optional/mandatory)</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Conversion Price Adjustment</w:t>
            </w:r>
            <w:r w:rsidR="007204A0" w:rsidRPr="0097012A">
              <w:rPr>
                <w:rFonts w:asciiTheme="minorHAnsi" w:hAnsiTheme="minorHAnsi"/>
                <w:sz w:val="24"/>
                <w:szCs w:val="24"/>
              </w:rPr>
              <w:t xml:space="preserve"> (weighted average/dividends/special adjustments)</w:t>
            </w:r>
          </w:p>
          <w:p w:rsidR="007204A0" w:rsidRPr="0097012A" w:rsidRDefault="007204A0"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lastRenderedPageBreak/>
              <w:t>Pay to play</w:t>
            </w:r>
          </w:p>
          <w:p w:rsidR="0059277A" w:rsidRPr="0097012A" w:rsidRDefault="0059277A" w:rsidP="0059277A">
            <w:pPr>
              <w:pStyle w:val="ListParagraph"/>
              <w:numPr>
                <w:ilvl w:val="1"/>
                <w:numId w:val="9"/>
              </w:numPr>
              <w:rPr>
                <w:rFonts w:asciiTheme="minorHAnsi" w:hAnsiTheme="minorHAnsi"/>
                <w:sz w:val="24"/>
                <w:szCs w:val="24"/>
              </w:rPr>
            </w:pPr>
            <w:r w:rsidRPr="0097012A">
              <w:rPr>
                <w:rFonts w:asciiTheme="minorHAnsi" w:hAnsiTheme="minorHAnsi"/>
                <w:sz w:val="24"/>
                <w:szCs w:val="24"/>
              </w:rPr>
              <w:t>Redemption Rights</w:t>
            </w:r>
          </w:p>
          <w:p w:rsidR="007204A0" w:rsidRPr="0097012A" w:rsidRDefault="007204A0" w:rsidP="007204A0">
            <w:pPr>
              <w:pStyle w:val="ListParagraph"/>
              <w:ind w:left="1440"/>
              <w:rPr>
                <w:rFonts w:asciiTheme="minorHAnsi" w:hAnsiTheme="minorHAnsi"/>
                <w:sz w:val="24"/>
                <w:szCs w:val="24"/>
              </w:rPr>
            </w:pPr>
          </w:p>
        </w:tc>
        <w:tc>
          <w:tcPr>
            <w:tcW w:w="2430" w:type="dxa"/>
          </w:tcPr>
          <w:p w:rsidR="0037301E" w:rsidRPr="008F0829" w:rsidRDefault="0037301E" w:rsidP="0037301E">
            <w:pPr>
              <w:rPr>
                <w:rFonts w:asciiTheme="minorHAnsi" w:hAnsiTheme="minorHAnsi"/>
                <w:sz w:val="24"/>
                <w:szCs w:val="24"/>
              </w:rPr>
            </w:pPr>
            <w:r w:rsidRPr="0037301E">
              <w:rPr>
                <w:rFonts w:asciiTheme="minorHAnsi" w:hAnsiTheme="minorHAnsi"/>
                <w:i/>
                <w:sz w:val="24"/>
                <w:szCs w:val="24"/>
              </w:rPr>
              <w:lastRenderedPageBreak/>
              <w:t xml:space="preserve">The Entrepreneur’s Guide: </w:t>
            </w:r>
            <w:r w:rsidR="008F0829">
              <w:rPr>
                <w:rFonts w:asciiTheme="minorHAnsi" w:hAnsiTheme="minorHAnsi"/>
                <w:sz w:val="24"/>
                <w:szCs w:val="24"/>
              </w:rPr>
              <w:t xml:space="preserve"> Chapter 13 – Venture Capital (pp 473-491)</w:t>
            </w:r>
          </w:p>
          <w:p w:rsidR="0037301E" w:rsidRDefault="0037301E">
            <w:pPr>
              <w:rPr>
                <w:rFonts w:asciiTheme="minorHAnsi" w:hAnsiTheme="minorHAnsi"/>
                <w:sz w:val="24"/>
                <w:szCs w:val="24"/>
              </w:rPr>
            </w:pPr>
          </w:p>
          <w:p w:rsidR="00625A25" w:rsidRPr="0097012A" w:rsidRDefault="0059277A">
            <w:pPr>
              <w:rPr>
                <w:rFonts w:asciiTheme="minorHAnsi" w:hAnsiTheme="minorHAnsi"/>
                <w:sz w:val="24"/>
                <w:szCs w:val="24"/>
              </w:rPr>
            </w:pPr>
            <w:r w:rsidRPr="0097012A">
              <w:rPr>
                <w:rFonts w:asciiTheme="minorHAnsi" w:hAnsiTheme="minorHAnsi"/>
                <w:sz w:val="24"/>
                <w:szCs w:val="24"/>
              </w:rPr>
              <w:t>NVCA Form of Charter</w:t>
            </w:r>
          </w:p>
          <w:p w:rsidR="003D7C0B" w:rsidRPr="0097012A" w:rsidRDefault="003D7C0B">
            <w:pPr>
              <w:rPr>
                <w:rFonts w:asciiTheme="minorHAnsi" w:hAnsiTheme="minorHAnsi"/>
                <w:sz w:val="24"/>
                <w:szCs w:val="24"/>
              </w:rPr>
            </w:pPr>
          </w:p>
        </w:tc>
      </w:tr>
      <w:tr w:rsidR="00625A25" w:rsidRPr="0097012A" w:rsidTr="00EC2254">
        <w:tc>
          <w:tcPr>
            <w:tcW w:w="738" w:type="dxa"/>
          </w:tcPr>
          <w:p w:rsidR="00625A25" w:rsidRPr="0097012A" w:rsidRDefault="00625A25" w:rsidP="008829B2">
            <w:pPr>
              <w:pStyle w:val="ListParagraph"/>
              <w:numPr>
                <w:ilvl w:val="0"/>
                <w:numId w:val="2"/>
              </w:numPr>
              <w:jc w:val="center"/>
              <w:rPr>
                <w:rFonts w:asciiTheme="minorHAnsi" w:hAnsiTheme="minorHAnsi"/>
                <w:sz w:val="24"/>
                <w:szCs w:val="24"/>
              </w:rPr>
            </w:pPr>
          </w:p>
        </w:tc>
        <w:tc>
          <w:tcPr>
            <w:tcW w:w="1530" w:type="dxa"/>
          </w:tcPr>
          <w:p w:rsidR="00625A25" w:rsidRPr="0097012A" w:rsidRDefault="006157FC">
            <w:pPr>
              <w:rPr>
                <w:rFonts w:asciiTheme="minorHAnsi" w:hAnsiTheme="minorHAnsi"/>
                <w:sz w:val="24"/>
                <w:szCs w:val="24"/>
              </w:rPr>
            </w:pPr>
            <w:r w:rsidRPr="0097012A">
              <w:rPr>
                <w:rFonts w:asciiTheme="minorHAnsi" w:hAnsiTheme="minorHAnsi"/>
                <w:sz w:val="24"/>
                <w:szCs w:val="24"/>
              </w:rPr>
              <w:t>October 28</w:t>
            </w:r>
          </w:p>
        </w:tc>
        <w:tc>
          <w:tcPr>
            <w:tcW w:w="2340" w:type="dxa"/>
          </w:tcPr>
          <w:p w:rsidR="00625A25" w:rsidRPr="0097012A" w:rsidRDefault="008F0829">
            <w:pPr>
              <w:rPr>
                <w:rFonts w:asciiTheme="minorHAnsi" w:hAnsiTheme="minorHAnsi"/>
                <w:sz w:val="24"/>
                <w:szCs w:val="24"/>
              </w:rPr>
            </w:pPr>
            <w:r>
              <w:rPr>
                <w:rFonts w:asciiTheme="minorHAnsi" w:hAnsiTheme="minorHAnsi"/>
                <w:sz w:val="24"/>
                <w:szCs w:val="24"/>
              </w:rPr>
              <w:t>Series A Financing: Part IV</w:t>
            </w:r>
          </w:p>
        </w:tc>
        <w:tc>
          <w:tcPr>
            <w:tcW w:w="6570" w:type="dxa"/>
          </w:tcPr>
          <w:p w:rsidR="00625A25" w:rsidRPr="0097012A" w:rsidRDefault="0059277A" w:rsidP="0059277A">
            <w:pPr>
              <w:pStyle w:val="ListParagraph"/>
              <w:numPr>
                <w:ilvl w:val="0"/>
                <w:numId w:val="9"/>
              </w:numPr>
              <w:rPr>
                <w:rFonts w:asciiTheme="minorHAnsi" w:hAnsiTheme="minorHAnsi"/>
                <w:sz w:val="24"/>
                <w:szCs w:val="24"/>
              </w:rPr>
            </w:pPr>
            <w:r w:rsidRPr="0097012A">
              <w:rPr>
                <w:rFonts w:asciiTheme="minorHAnsi" w:hAnsiTheme="minorHAnsi"/>
                <w:sz w:val="24"/>
                <w:szCs w:val="24"/>
              </w:rPr>
              <w:t>Investor Rights Agreement</w:t>
            </w:r>
          </w:p>
          <w:p w:rsidR="007204A0" w:rsidRPr="0097012A" w:rsidRDefault="007204A0" w:rsidP="007204A0">
            <w:pPr>
              <w:pStyle w:val="ListParagraph"/>
              <w:numPr>
                <w:ilvl w:val="1"/>
                <w:numId w:val="9"/>
              </w:numPr>
              <w:rPr>
                <w:rFonts w:asciiTheme="minorHAnsi" w:hAnsiTheme="minorHAnsi"/>
                <w:sz w:val="24"/>
                <w:szCs w:val="24"/>
              </w:rPr>
            </w:pPr>
            <w:r w:rsidRPr="0097012A">
              <w:rPr>
                <w:rFonts w:asciiTheme="minorHAnsi" w:hAnsiTheme="minorHAnsi"/>
                <w:sz w:val="24"/>
                <w:szCs w:val="24"/>
              </w:rPr>
              <w:t>Registration rights</w:t>
            </w:r>
          </w:p>
          <w:p w:rsidR="007204A0" w:rsidRPr="0097012A" w:rsidRDefault="007204A0" w:rsidP="007204A0">
            <w:pPr>
              <w:pStyle w:val="ListParagraph"/>
              <w:numPr>
                <w:ilvl w:val="1"/>
                <w:numId w:val="9"/>
              </w:numPr>
              <w:rPr>
                <w:rFonts w:asciiTheme="minorHAnsi" w:hAnsiTheme="minorHAnsi"/>
                <w:sz w:val="24"/>
                <w:szCs w:val="24"/>
              </w:rPr>
            </w:pPr>
            <w:r w:rsidRPr="0097012A">
              <w:rPr>
                <w:rFonts w:asciiTheme="minorHAnsi" w:hAnsiTheme="minorHAnsi"/>
                <w:sz w:val="24"/>
                <w:szCs w:val="24"/>
              </w:rPr>
              <w:t>Preemptive Rights</w:t>
            </w:r>
          </w:p>
          <w:p w:rsidR="007204A0" w:rsidRPr="0097012A" w:rsidRDefault="007204A0" w:rsidP="007204A0">
            <w:pPr>
              <w:pStyle w:val="ListParagraph"/>
              <w:numPr>
                <w:ilvl w:val="1"/>
                <w:numId w:val="9"/>
              </w:numPr>
              <w:rPr>
                <w:rFonts w:asciiTheme="minorHAnsi" w:hAnsiTheme="minorHAnsi"/>
                <w:sz w:val="24"/>
                <w:szCs w:val="24"/>
              </w:rPr>
            </w:pPr>
            <w:r w:rsidRPr="0097012A">
              <w:rPr>
                <w:rFonts w:asciiTheme="minorHAnsi" w:hAnsiTheme="minorHAnsi"/>
                <w:sz w:val="24"/>
                <w:szCs w:val="24"/>
              </w:rPr>
              <w:t>Covenants</w:t>
            </w:r>
          </w:p>
          <w:p w:rsidR="007204A0" w:rsidRPr="0097012A" w:rsidRDefault="007204A0" w:rsidP="0059277A">
            <w:pPr>
              <w:pStyle w:val="ListParagraph"/>
              <w:numPr>
                <w:ilvl w:val="0"/>
                <w:numId w:val="9"/>
              </w:numPr>
              <w:rPr>
                <w:rFonts w:asciiTheme="minorHAnsi" w:hAnsiTheme="minorHAnsi"/>
                <w:sz w:val="24"/>
                <w:szCs w:val="24"/>
              </w:rPr>
            </w:pPr>
            <w:r w:rsidRPr="0097012A">
              <w:rPr>
                <w:rFonts w:asciiTheme="minorHAnsi" w:hAnsiTheme="minorHAnsi"/>
                <w:sz w:val="24"/>
                <w:szCs w:val="24"/>
              </w:rPr>
              <w:t>Voting Agreement</w:t>
            </w:r>
          </w:p>
          <w:p w:rsidR="007204A0" w:rsidRPr="0097012A" w:rsidRDefault="007204A0" w:rsidP="007204A0">
            <w:pPr>
              <w:pStyle w:val="ListParagraph"/>
              <w:numPr>
                <w:ilvl w:val="1"/>
                <w:numId w:val="9"/>
              </w:numPr>
              <w:rPr>
                <w:rFonts w:asciiTheme="minorHAnsi" w:hAnsiTheme="minorHAnsi"/>
                <w:sz w:val="24"/>
                <w:szCs w:val="24"/>
              </w:rPr>
            </w:pPr>
            <w:r w:rsidRPr="0097012A">
              <w:rPr>
                <w:rFonts w:asciiTheme="minorHAnsi" w:hAnsiTheme="minorHAnsi"/>
                <w:sz w:val="24"/>
                <w:szCs w:val="24"/>
              </w:rPr>
              <w:t>Board composition</w:t>
            </w:r>
          </w:p>
          <w:p w:rsidR="007204A0" w:rsidRPr="0097012A" w:rsidRDefault="007204A0" w:rsidP="007204A0">
            <w:pPr>
              <w:pStyle w:val="ListParagraph"/>
              <w:numPr>
                <w:ilvl w:val="1"/>
                <w:numId w:val="9"/>
              </w:numPr>
              <w:rPr>
                <w:rFonts w:asciiTheme="minorHAnsi" w:hAnsiTheme="minorHAnsi"/>
                <w:sz w:val="24"/>
                <w:szCs w:val="24"/>
              </w:rPr>
            </w:pPr>
            <w:r w:rsidRPr="0097012A">
              <w:rPr>
                <w:rFonts w:asciiTheme="minorHAnsi" w:hAnsiTheme="minorHAnsi"/>
                <w:sz w:val="24"/>
                <w:szCs w:val="24"/>
              </w:rPr>
              <w:t>Drag along (</w:t>
            </w:r>
            <w:proofErr w:type="spellStart"/>
            <w:r w:rsidRPr="0097012A">
              <w:rPr>
                <w:rFonts w:asciiTheme="minorHAnsi" w:hAnsiTheme="minorHAnsi"/>
                <w:sz w:val="24"/>
                <w:szCs w:val="24"/>
              </w:rPr>
              <w:t>Travos</w:t>
            </w:r>
            <w:proofErr w:type="spellEnd"/>
            <w:r w:rsidRPr="0097012A">
              <w:rPr>
                <w:rFonts w:asciiTheme="minorHAnsi" w:hAnsiTheme="minorHAnsi"/>
                <w:sz w:val="24"/>
                <w:szCs w:val="24"/>
              </w:rPr>
              <w:t xml:space="preserve"> Case)</w:t>
            </w:r>
          </w:p>
          <w:p w:rsidR="007204A0" w:rsidRPr="0097012A" w:rsidRDefault="007204A0" w:rsidP="0059277A">
            <w:pPr>
              <w:pStyle w:val="ListParagraph"/>
              <w:numPr>
                <w:ilvl w:val="0"/>
                <w:numId w:val="9"/>
              </w:numPr>
              <w:rPr>
                <w:rFonts w:asciiTheme="minorHAnsi" w:hAnsiTheme="minorHAnsi"/>
                <w:sz w:val="24"/>
                <w:szCs w:val="24"/>
              </w:rPr>
            </w:pPr>
            <w:r w:rsidRPr="0097012A">
              <w:rPr>
                <w:rFonts w:asciiTheme="minorHAnsi" w:hAnsiTheme="minorHAnsi"/>
                <w:sz w:val="24"/>
                <w:szCs w:val="24"/>
              </w:rPr>
              <w:t>Right of First Refusal &amp; Co-Sale</w:t>
            </w:r>
          </w:p>
          <w:p w:rsidR="007204A0" w:rsidRPr="0097012A" w:rsidRDefault="007204A0" w:rsidP="007204A0">
            <w:pPr>
              <w:pStyle w:val="ListParagraph"/>
              <w:rPr>
                <w:rFonts w:asciiTheme="minorHAnsi" w:hAnsiTheme="minorHAnsi"/>
                <w:sz w:val="24"/>
                <w:szCs w:val="24"/>
              </w:rPr>
            </w:pPr>
          </w:p>
        </w:tc>
        <w:tc>
          <w:tcPr>
            <w:tcW w:w="2430" w:type="dxa"/>
          </w:tcPr>
          <w:p w:rsidR="008F0829" w:rsidRPr="008F0829" w:rsidRDefault="008F0829" w:rsidP="008F0829">
            <w:pPr>
              <w:rPr>
                <w:rFonts w:asciiTheme="minorHAnsi" w:hAnsiTheme="minorHAnsi"/>
                <w:sz w:val="24"/>
                <w:szCs w:val="24"/>
              </w:rPr>
            </w:pPr>
            <w:r w:rsidRPr="0037301E">
              <w:rPr>
                <w:rFonts w:asciiTheme="minorHAnsi" w:hAnsiTheme="minorHAnsi"/>
                <w:i/>
                <w:sz w:val="24"/>
                <w:szCs w:val="24"/>
              </w:rPr>
              <w:t xml:space="preserve">The Entrepreneur’s Guide: </w:t>
            </w:r>
            <w:r>
              <w:rPr>
                <w:rFonts w:asciiTheme="minorHAnsi" w:hAnsiTheme="minorHAnsi"/>
                <w:sz w:val="24"/>
                <w:szCs w:val="24"/>
              </w:rPr>
              <w:t xml:space="preserve"> Chapter 13 – Venture Capital (pp 491-515)</w:t>
            </w:r>
          </w:p>
          <w:p w:rsidR="0037301E" w:rsidRDefault="0037301E">
            <w:pPr>
              <w:rPr>
                <w:rFonts w:asciiTheme="minorHAnsi" w:hAnsiTheme="minorHAnsi"/>
                <w:sz w:val="24"/>
                <w:szCs w:val="24"/>
              </w:rPr>
            </w:pPr>
          </w:p>
          <w:p w:rsidR="00625A25" w:rsidRPr="0097012A" w:rsidRDefault="007204A0">
            <w:pPr>
              <w:rPr>
                <w:rFonts w:asciiTheme="minorHAnsi" w:hAnsiTheme="minorHAnsi"/>
                <w:sz w:val="24"/>
                <w:szCs w:val="24"/>
              </w:rPr>
            </w:pPr>
            <w:r w:rsidRPr="0097012A">
              <w:rPr>
                <w:rFonts w:asciiTheme="minorHAnsi" w:hAnsiTheme="minorHAnsi"/>
                <w:sz w:val="24"/>
                <w:szCs w:val="24"/>
              </w:rPr>
              <w:t>NVCA Form of Investor Rights Agreement</w:t>
            </w:r>
          </w:p>
          <w:p w:rsidR="007204A0" w:rsidRPr="0097012A" w:rsidRDefault="007204A0">
            <w:pPr>
              <w:rPr>
                <w:rFonts w:asciiTheme="minorHAnsi" w:hAnsiTheme="minorHAnsi"/>
                <w:sz w:val="24"/>
                <w:szCs w:val="24"/>
              </w:rPr>
            </w:pPr>
          </w:p>
          <w:p w:rsidR="007204A0" w:rsidRPr="0097012A" w:rsidRDefault="007204A0">
            <w:pPr>
              <w:rPr>
                <w:rFonts w:asciiTheme="minorHAnsi" w:hAnsiTheme="minorHAnsi"/>
                <w:sz w:val="24"/>
                <w:szCs w:val="24"/>
              </w:rPr>
            </w:pPr>
            <w:r w:rsidRPr="0097012A">
              <w:rPr>
                <w:rFonts w:asciiTheme="minorHAnsi" w:hAnsiTheme="minorHAnsi"/>
                <w:sz w:val="24"/>
                <w:szCs w:val="24"/>
              </w:rPr>
              <w:t>NVCA Form of Voting Agreement</w:t>
            </w:r>
          </w:p>
          <w:p w:rsidR="007204A0" w:rsidRPr="0097012A" w:rsidRDefault="007204A0">
            <w:pPr>
              <w:rPr>
                <w:rFonts w:asciiTheme="minorHAnsi" w:hAnsiTheme="minorHAnsi"/>
                <w:sz w:val="24"/>
                <w:szCs w:val="24"/>
              </w:rPr>
            </w:pPr>
          </w:p>
          <w:p w:rsidR="007204A0" w:rsidRPr="0097012A" w:rsidRDefault="007204A0" w:rsidP="007204A0">
            <w:pPr>
              <w:rPr>
                <w:rFonts w:asciiTheme="minorHAnsi" w:hAnsiTheme="minorHAnsi"/>
                <w:sz w:val="24"/>
                <w:szCs w:val="24"/>
              </w:rPr>
            </w:pPr>
            <w:r w:rsidRPr="0097012A">
              <w:rPr>
                <w:rFonts w:asciiTheme="minorHAnsi" w:hAnsiTheme="minorHAnsi"/>
                <w:sz w:val="24"/>
                <w:szCs w:val="24"/>
              </w:rPr>
              <w:t>NVCA Form of Right of First Refusal &amp; Co-Sale Agreement</w:t>
            </w:r>
          </w:p>
          <w:p w:rsidR="00E82879" w:rsidRPr="0097012A" w:rsidRDefault="00E82879" w:rsidP="007204A0">
            <w:pPr>
              <w:rPr>
                <w:rFonts w:asciiTheme="minorHAnsi" w:hAnsiTheme="minorHAnsi"/>
                <w:sz w:val="24"/>
                <w:szCs w:val="24"/>
              </w:rPr>
            </w:pPr>
          </w:p>
        </w:tc>
      </w:tr>
      <w:tr w:rsidR="00655A2C" w:rsidRPr="0097012A" w:rsidTr="00EC2254">
        <w:tc>
          <w:tcPr>
            <w:tcW w:w="738" w:type="dxa"/>
          </w:tcPr>
          <w:p w:rsidR="00655A2C" w:rsidRPr="0097012A" w:rsidRDefault="00655A2C" w:rsidP="008829B2">
            <w:pPr>
              <w:pStyle w:val="ListParagraph"/>
              <w:numPr>
                <w:ilvl w:val="0"/>
                <w:numId w:val="2"/>
              </w:numPr>
              <w:jc w:val="center"/>
              <w:rPr>
                <w:rFonts w:asciiTheme="minorHAnsi" w:hAnsiTheme="minorHAnsi"/>
                <w:sz w:val="24"/>
                <w:szCs w:val="24"/>
              </w:rPr>
            </w:pPr>
          </w:p>
        </w:tc>
        <w:tc>
          <w:tcPr>
            <w:tcW w:w="1530" w:type="dxa"/>
          </w:tcPr>
          <w:p w:rsidR="00655A2C" w:rsidRPr="0097012A" w:rsidRDefault="00655A2C">
            <w:pPr>
              <w:rPr>
                <w:rFonts w:asciiTheme="minorHAnsi" w:hAnsiTheme="minorHAnsi"/>
                <w:sz w:val="24"/>
                <w:szCs w:val="24"/>
              </w:rPr>
            </w:pPr>
            <w:r w:rsidRPr="0097012A">
              <w:rPr>
                <w:rFonts w:asciiTheme="minorHAnsi" w:hAnsiTheme="minorHAnsi"/>
                <w:sz w:val="24"/>
                <w:szCs w:val="24"/>
              </w:rPr>
              <w:t>November 4</w:t>
            </w:r>
          </w:p>
        </w:tc>
        <w:tc>
          <w:tcPr>
            <w:tcW w:w="2340" w:type="dxa"/>
          </w:tcPr>
          <w:p w:rsidR="00655A2C" w:rsidRPr="0097012A" w:rsidRDefault="00655A2C" w:rsidP="00C212F2">
            <w:pPr>
              <w:rPr>
                <w:rFonts w:asciiTheme="minorHAnsi" w:hAnsiTheme="minorHAnsi"/>
                <w:b/>
                <w:sz w:val="24"/>
                <w:szCs w:val="24"/>
              </w:rPr>
            </w:pPr>
            <w:r w:rsidRPr="0097012A">
              <w:rPr>
                <w:rFonts w:asciiTheme="minorHAnsi" w:hAnsiTheme="minorHAnsi"/>
                <w:b/>
                <w:sz w:val="24"/>
                <w:szCs w:val="24"/>
              </w:rPr>
              <w:t>Exercise: Term Sheet Negotiation</w:t>
            </w:r>
          </w:p>
          <w:p w:rsidR="00655A2C" w:rsidRPr="0097012A" w:rsidRDefault="00655A2C" w:rsidP="00C212F2">
            <w:pPr>
              <w:rPr>
                <w:rFonts w:asciiTheme="minorHAnsi" w:hAnsiTheme="minorHAnsi"/>
                <w:b/>
                <w:sz w:val="24"/>
                <w:szCs w:val="24"/>
              </w:rPr>
            </w:pPr>
          </w:p>
        </w:tc>
        <w:tc>
          <w:tcPr>
            <w:tcW w:w="6570" w:type="dxa"/>
          </w:tcPr>
          <w:p w:rsidR="00655A2C" w:rsidRPr="0097012A" w:rsidRDefault="00655A2C" w:rsidP="00C212F2">
            <w:pPr>
              <w:pStyle w:val="ListParagraph"/>
              <w:numPr>
                <w:ilvl w:val="0"/>
                <w:numId w:val="11"/>
              </w:numPr>
              <w:rPr>
                <w:rFonts w:asciiTheme="minorHAnsi" w:hAnsiTheme="minorHAnsi"/>
                <w:sz w:val="24"/>
                <w:szCs w:val="24"/>
              </w:rPr>
            </w:pPr>
            <w:r w:rsidRPr="0097012A">
              <w:rPr>
                <w:rFonts w:asciiTheme="minorHAnsi" w:hAnsiTheme="minorHAnsi"/>
                <w:sz w:val="24"/>
                <w:szCs w:val="24"/>
              </w:rPr>
              <w:t>2 teams: Company and VCs</w:t>
            </w:r>
          </w:p>
        </w:tc>
        <w:tc>
          <w:tcPr>
            <w:tcW w:w="2430" w:type="dxa"/>
          </w:tcPr>
          <w:p w:rsidR="0037301E" w:rsidRDefault="0037301E" w:rsidP="0037301E">
            <w:pPr>
              <w:rPr>
                <w:rFonts w:asciiTheme="minorHAnsi" w:hAnsiTheme="minorHAnsi"/>
                <w:sz w:val="24"/>
                <w:szCs w:val="24"/>
              </w:rPr>
            </w:pPr>
            <w:r w:rsidRPr="0037301E">
              <w:rPr>
                <w:rFonts w:asciiTheme="minorHAnsi" w:hAnsiTheme="minorHAnsi"/>
                <w:i/>
                <w:sz w:val="24"/>
                <w:szCs w:val="24"/>
              </w:rPr>
              <w:t>Venture Deals</w:t>
            </w:r>
            <w:r>
              <w:rPr>
                <w:rFonts w:asciiTheme="minorHAnsi" w:hAnsiTheme="minorHAnsi"/>
                <w:sz w:val="24"/>
                <w:szCs w:val="24"/>
              </w:rPr>
              <w:t>: Chapters 9 and 11</w:t>
            </w:r>
          </w:p>
          <w:p w:rsidR="00655A2C" w:rsidRPr="0097012A" w:rsidRDefault="00655A2C" w:rsidP="0037301E">
            <w:pPr>
              <w:rPr>
                <w:rFonts w:asciiTheme="minorHAnsi" w:hAnsiTheme="minorHAnsi"/>
                <w:sz w:val="24"/>
                <w:szCs w:val="24"/>
              </w:rPr>
            </w:pPr>
          </w:p>
        </w:tc>
      </w:tr>
      <w:tr w:rsidR="00655A2C" w:rsidRPr="0097012A" w:rsidTr="00EC2254">
        <w:tc>
          <w:tcPr>
            <w:tcW w:w="738" w:type="dxa"/>
          </w:tcPr>
          <w:p w:rsidR="00655A2C" w:rsidRPr="0097012A" w:rsidRDefault="00655A2C" w:rsidP="008829B2">
            <w:pPr>
              <w:pStyle w:val="ListParagraph"/>
              <w:numPr>
                <w:ilvl w:val="0"/>
                <w:numId w:val="2"/>
              </w:numPr>
              <w:jc w:val="center"/>
              <w:rPr>
                <w:rFonts w:asciiTheme="minorHAnsi" w:hAnsiTheme="minorHAnsi"/>
                <w:sz w:val="24"/>
                <w:szCs w:val="24"/>
              </w:rPr>
            </w:pPr>
          </w:p>
        </w:tc>
        <w:tc>
          <w:tcPr>
            <w:tcW w:w="1530" w:type="dxa"/>
          </w:tcPr>
          <w:p w:rsidR="00655A2C" w:rsidRPr="0097012A" w:rsidRDefault="00655A2C">
            <w:pPr>
              <w:rPr>
                <w:rFonts w:asciiTheme="minorHAnsi" w:hAnsiTheme="minorHAnsi"/>
                <w:sz w:val="24"/>
                <w:szCs w:val="24"/>
              </w:rPr>
            </w:pPr>
            <w:r w:rsidRPr="0097012A">
              <w:rPr>
                <w:rFonts w:asciiTheme="minorHAnsi" w:hAnsiTheme="minorHAnsi"/>
                <w:sz w:val="24"/>
                <w:szCs w:val="24"/>
              </w:rPr>
              <w:t>November 11</w:t>
            </w:r>
          </w:p>
        </w:tc>
        <w:tc>
          <w:tcPr>
            <w:tcW w:w="2340" w:type="dxa"/>
          </w:tcPr>
          <w:p w:rsidR="00655A2C" w:rsidRPr="0097012A" w:rsidRDefault="00655A2C" w:rsidP="00C212F2">
            <w:pPr>
              <w:rPr>
                <w:rFonts w:asciiTheme="minorHAnsi" w:hAnsiTheme="minorHAnsi"/>
                <w:sz w:val="24"/>
                <w:szCs w:val="24"/>
              </w:rPr>
            </w:pPr>
            <w:r w:rsidRPr="0097012A">
              <w:rPr>
                <w:rFonts w:asciiTheme="minorHAnsi" w:hAnsiTheme="minorHAnsi"/>
                <w:sz w:val="24"/>
                <w:szCs w:val="24"/>
              </w:rPr>
              <w:t>Distressed Situations &amp; Down Rounds</w:t>
            </w:r>
          </w:p>
          <w:p w:rsidR="00655A2C" w:rsidRPr="0097012A" w:rsidRDefault="00655A2C" w:rsidP="00C212F2">
            <w:pPr>
              <w:rPr>
                <w:rFonts w:asciiTheme="minorHAnsi" w:hAnsiTheme="minorHAnsi"/>
                <w:sz w:val="24"/>
                <w:szCs w:val="24"/>
              </w:rPr>
            </w:pPr>
          </w:p>
        </w:tc>
        <w:tc>
          <w:tcPr>
            <w:tcW w:w="6570" w:type="dxa"/>
          </w:tcPr>
          <w:p w:rsidR="00655A2C" w:rsidRPr="0097012A" w:rsidRDefault="00655A2C" w:rsidP="00C212F2">
            <w:pPr>
              <w:pStyle w:val="ListParagraph"/>
              <w:numPr>
                <w:ilvl w:val="0"/>
                <w:numId w:val="10"/>
              </w:numPr>
              <w:rPr>
                <w:rFonts w:asciiTheme="minorHAnsi" w:hAnsiTheme="minorHAnsi"/>
                <w:sz w:val="24"/>
                <w:szCs w:val="24"/>
              </w:rPr>
            </w:pPr>
            <w:r w:rsidRPr="0097012A">
              <w:rPr>
                <w:rFonts w:asciiTheme="minorHAnsi" w:hAnsiTheme="minorHAnsi"/>
                <w:sz w:val="24"/>
                <w:szCs w:val="24"/>
              </w:rPr>
              <w:t>Transaction</w:t>
            </w:r>
          </w:p>
          <w:p w:rsidR="00655A2C" w:rsidRPr="0097012A" w:rsidRDefault="00655A2C" w:rsidP="00C212F2">
            <w:pPr>
              <w:pStyle w:val="ListParagraph"/>
              <w:numPr>
                <w:ilvl w:val="0"/>
                <w:numId w:val="10"/>
              </w:numPr>
              <w:rPr>
                <w:rFonts w:asciiTheme="minorHAnsi" w:hAnsiTheme="minorHAnsi"/>
                <w:sz w:val="24"/>
                <w:szCs w:val="24"/>
              </w:rPr>
            </w:pPr>
            <w:r w:rsidRPr="0097012A">
              <w:rPr>
                <w:rFonts w:asciiTheme="minorHAnsi" w:hAnsiTheme="minorHAnsi"/>
                <w:sz w:val="24"/>
                <w:szCs w:val="24"/>
              </w:rPr>
              <w:t>Approving the transaction (DGCL 144; Board Common Law Fiduciary Duties); Business Judgment Rule</w:t>
            </w:r>
          </w:p>
          <w:p w:rsidR="00655A2C" w:rsidRPr="0097012A" w:rsidRDefault="00655A2C" w:rsidP="00C212F2">
            <w:pPr>
              <w:pStyle w:val="ListParagraph"/>
              <w:numPr>
                <w:ilvl w:val="0"/>
                <w:numId w:val="10"/>
              </w:numPr>
              <w:rPr>
                <w:rFonts w:asciiTheme="minorHAnsi" w:hAnsiTheme="minorHAnsi"/>
                <w:sz w:val="24"/>
                <w:szCs w:val="24"/>
              </w:rPr>
            </w:pPr>
            <w:r w:rsidRPr="0097012A">
              <w:rPr>
                <w:rFonts w:asciiTheme="minorHAnsi" w:hAnsiTheme="minorHAnsi"/>
                <w:sz w:val="24"/>
                <w:szCs w:val="24"/>
              </w:rPr>
              <w:t>Risk mitigation</w:t>
            </w:r>
          </w:p>
          <w:p w:rsidR="00655A2C" w:rsidRPr="0097012A" w:rsidRDefault="00655A2C" w:rsidP="00655A2C">
            <w:pPr>
              <w:pStyle w:val="ListParagraph"/>
              <w:numPr>
                <w:ilvl w:val="1"/>
                <w:numId w:val="10"/>
              </w:numPr>
              <w:rPr>
                <w:rFonts w:asciiTheme="minorHAnsi" w:hAnsiTheme="minorHAnsi"/>
                <w:sz w:val="24"/>
                <w:szCs w:val="24"/>
              </w:rPr>
            </w:pPr>
            <w:r w:rsidRPr="0097012A">
              <w:rPr>
                <w:rFonts w:asciiTheme="minorHAnsi" w:hAnsiTheme="minorHAnsi"/>
                <w:sz w:val="24"/>
                <w:szCs w:val="24"/>
              </w:rPr>
              <w:t>Seeking alternative funding sources</w:t>
            </w:r>
          </w:p>
          <w:p w:rsidR="00655A2C" w:rsidRPr="0097012A" w:rsidRDefault="00655A2C" w:rsidP="00655A2C">
            <w:pPr>
              <w:pStyle w:val="ListParagraph"/>
              <w:numPr>
                <w:ilvl w:val="1"/>
                <w:numId w:val="10"/>
              </w:numPr>
              <w:rPr>
                <w:rFonts w:asciiTheme="minorHAnsi" w:hAnsiTheme="minorHAnsi"/>
                <w:sz w:val="24"/>
                <w:szCs w:val="24"/>
              </w:rPr>
            </w:pPr>
            <w:r w:rsidRPr="0097012A">
              <w:rPr>
                <w:rFonts w:asciiTheme="minorHAnsi" w:hAnsiTheme="minorHAnsi"/>
                <w:sz w:val="24"/>
                <w:szCs w:val="24"/>
              </w:rPr>
              <w:t>Adequate disclosure to stockholders</w:t>
            </w:r>
          </w:p>
          <w:p w:rsidR="00655A2C" w:rsidRPr="0097012A" w:rsidRDefault="00655A2C" w:rsidP="00655A2C">
            <w:pPr>
              <w:pStyle w:val="ListParagraph"/>
              <w:numPr>
                <w:ilvl w:val="1"/>
                <w:numId w:val="10"/>
              </w:numPr>
              <w:rPr>
                <w:rFonts w:asciiTheme="minorHAnsi" w:hAnsiTheme="minorHAnsi"/>
                <w:sz w:val="24"/>
                <w:szCs w:val="24"/>
              </w:rPr>
            </w:pPr>
            <w:r w:rsidRPr="0097012A">
              <w:rPr>
                <w:rFonts w:asciiTheme="minorHAnsi" w:hAnsiTheme="minorHAnsi"/>
                <w:sz w:val="24"/>
                <w:szCs w:val="24"/>
              </w:rPr>
              <w:t>Rights offering</w:t>
            </w:r>
          </w:p>
          <w:p w:rsidR="00655A2C" w:rsidRPr="0097012A" w:rsidRDefault="00655A2C" w:rsidP="00655A2C">
            <w:pPr>
              <w:rPr>
                <w:rFonts w:asciiTheme="minorHAnsi" w:hAnsiTheme="minorHAnsi"/>
                <w:sz w:val="24"/>
                <w:szCs w:val="24"/>
              </w:rPr>
            </w:pPr>
          </w:p>
        </w:tc>
        <w:tc>
          <w:tcPr>
            <w:tcW w:w="2430" w:type="dxa"/>
          </w:tcPr>
          <w:p w:rsidR="00655A2C" w:rsidRPr="0097012A" w:rsidRDefault="00A64A2F" w:rsidP="00C212F2">
            <w:pPr>
              <w:rPr>
                <w:rFonts w:asciiTheme="minorHAnsi" w:hAnsiTheme="minorHAnsi"/>
                <w:sz w:val="24"/>
                <w:szCs w:val="24"/>
              </w:rPr>
            </w:pPr>
            <w:r w:rsidRPr="0097012A">
              <w:rPr>
                <w:rFonts w:asciiTheme="minorHAnsi" w:hAnsiTheme="minorHAnsi"/>
                <w:sz w:val="24"/>
                <w:szCs w:val="24"/>
                <w:u w:val="single"/>
              </w:rPr>
              <w:lastRenderedPageBreak/>
              <w:t>Article</w:t>
            </w:r>
            <w:r w:rsidRPr="0097012A">
              <w:rPr>
                <w:rFonts w:asciiTheme="minorHAnsi" w:hAnsiTheme="minorHAnsi"/>
                <w:sz w:val="24"/>
                <w:szCs w:val="24"/>
              </w:rPr>
              <w:t xml:space="preserve">: “Finding Safe Harbor: Clarifying the Limited Application of Section 144” by Blake </w:t>
            </w:r>
            <w:proofErr w:type="spellStart"/>
            <w:r w:rsidRPr="0097012A">
              <w:rPr>
                <w:rFonts w:asciiTheme="minorHAnsi" w:hAnsiTheme="minorHAnsi"/>
                <w:sz w:val="24"/>
                <w:szCs w:val="24"/>
              </w:rPr>
              <w:t>Rohrbacher</w:t>
            </w:r>
            <w:proofErr w:type="spellEnd"/>
            <w:r w:rsidRPr="0097012A">
              <w:rPr>
                <w:rFonts w:asciiTheme="minorHAnsi" w:hAnsiTheme="minorHAnsi"/>
                <w:sz w:val="24"/>
                <w:szCs w:val="24"/>
              </w:rPr>
              <w:t xml:space="preserve"> et al. </w:t>
            </w:r>
          </w:p>
          <w:p w:rsidR="00655A2C" w:rsidRPr="0097012A" w:rsidRDefault="00655A2C" w:rsidP="00C212F2">
            <w:pPr>
              <w:rPr>
                <w:rFonts w:asciiTheme="minorHAnsi" w:hAnsiTheme="minorHAnsi"/>
                <w:sz w:val="24"/>
                <w:szCs w:val="24"/>
              </w:rPr>
            </w:pPr>
            <w:r w:rsidRPr="0097012A">
              <w:rPr>
                <w:rFonts w:asciiTheme="minorHAnsi" w:hAnsiTheme="minorHAnsi"/>
                <w:sz w:val="24"/>
                <w:szCs w:val="24"/>
              </w:rPr>
              <w:t xml:space="preserve"> </w:t>
            </w:r>
          </w:p>
        </w:tc>
      </w:tr>
      <w:tr w:rsidR="00655A2C" w:rsidRPr="0097012A" w:rsidTr="00EC2254">
        <w:tc>
          <w:tcPr>
            <w:tcW w:w="738" w:type="dxa"/>
          </w:tcPr>
          <w:p w:rsidR="00655A2C" w:rsidRPr="0097012A" w:rsidRDefault="00655A2C" w:rsidP="008829B2">
            <w:pPr>
              <w:pStyle w:val="ListParagraph"/>
              <w:numPr>
                <w:ilvl w:val="0"/>
                <w:numId w:val="2"/>
              </w:numPr>
              <w:jc w:val="center"/>
              <w:rPr>
                <w:rFonts w:asciiTheme="minorHAnsi" w:hAnsiTheme="minorHAnsi"/>
                <w:sz w:val="24"/>
                <w:szCs w:val="24"/>
              </w:rPr>
            </w:pPr>
          </w:p>
        </w:tc>
        <w:tc>
          <w:tcPr>
            <w:tcW w:w="1530" w:type="dxa"/>
          </w:tcPr>
          <w:p w:rsidR="00655A2C" w:rsidRPr="0097012A" w:rsidRDefault="00655A2C">
            <w:pPr>
              <w:rPr>
                <w:rFonts w:asciiTheme="minorHAnsi" w:hAnsiTheme="minorHAnsi"/>
                <w:sz w:val="24"/>
                <w:szCs w:val="24"/>
              </w:rPr>
            </w:pPr>
            <w:r w:rsidRPr="0097012A">
              <w:rPr>
                <w:rFonts w:asciiTheme="minorHAnsi" w:hAnsiTheme="minorHAnsi"/>
                <w:sz w:val="24"/>
                <w:szCs w:val="24"/>
              </w:rPr>
              <w:t>November 18</w:t>
            </w:r>
          </w:p>
        </w:tc>
        <w:tc>
          <w:tcPr>
            <w:tcW w:w="2340" w:type="dxa"/>
          </w:tcPr>
          <w:p w:rsidR="00655A2C" w:rsidRPr="0097012A" w:rsidRDefault="00655A2C" w:rsidP="00C212F2">
            <w:pPr>
              <w:rPr>
                <w:rFonts w:asciiTheme="minorHAnsi" w:hAnsiTheme="minorHAnsi"/>
                <w:b/>
                <w:sz w:val="24"/>
                <w:szCs w:val="24"/>
              </w:rPr>
            </w:pPr>
            <w:r w:rsidRPr="0097012A">
              <w:rPr>
                <w:rFonts w:asciiTheme="minorHAnsi" w:hAnsiTheme="minorHAnsi"/>
                <w:b/>
                <w:sz w:val="24"/>
                <w:szCs w:val="24"/>
              </w:rPr>
              <w:t>Panel:  NY Venture Capitalist &amp; Founder of Recently Funded NY Start-up</w:t>
            </w:r>
          </w:p>
          <w:p w:rsidR="00655A2C" w:rsidRPr="0097012A" w:rsidRDefault="00655A2C" w:rsidP="00C212F2">
            <w:pPr>
              <w:rPr>
                <w:rFonts w:asciiTheme="minorHAnsi" w:hAnsiTheme="minorHAnsi"/>
                <w:b/>
                <w:sz w:val="24"/>
                <w:szCs w:val="24"/>
              </w:rPr>
            </w:pPr>
          </w:p>
        </w:tc>
        <w:tc>
          <w:tcPr>
            <w:tcW w:w="6570" w:type="dxa"/>
          </w:tcPr>
          <w:p w:rsidR="00655A2C" w:rsidRPr="0097012A" w:rsidRDefault="00655A2C" w:rsidP="00C212F2">
            <w:pPr>
              <w:pStyle w:val="ListParagraph"/>
              <w:numPr>
                <w:ilvl w:val="0"/>
                <w:numId w:val="10"/>
              </w:numPr>
              <w:rPr>
                <w:rFonts w:asciiTheme="minorHAnsi" w:hAnsiTheme="minorHAnsi"/>
                <w:sz w:val="24"/>
                <w:szCs w:val="24"/>
              </w:rPr>
            </w:pPr>
            <w:r w:rsidRPr="0097012A">
              <w:rPr>
                <w:rFonts w:asciiTheme="minorHAnsi" w:hAnsiTheme="minorHAnsi"/>
                <w:sz w:val="24"/>
                <w:szCs w:val="24"/>
              </w:rPr>
              <w:t>Considerations in sourcing a deal and selecting a VC</w:t>
            </w:r>
          </w:p>
          <w:p w:rsidR="00655A2C" w:rsidRPr="0097012A" w:rsidRDefault="00655A2C" w:rsidP="00C212F2">
            <w:pPr>
              <w:pStyle w:val="ListParagraph"/>
              <w:numPr>
                <w:ilvl w:val="0"/>
                <w:numId w:val="10"/>
              </w:numPr>
              <w:rPr>
                <w:rFonts w:asciiTheme="minorHAnsi" w:hAnsiTheme="minorHAnsi"/>
                <w:sz w:val="24"/>
                <w:szCs w:val="24"/>
              </w:rPr>
            </w:pPr>
            <w:r w:rsidRPr="0097012A">
              <w:rPr>
                <w:rFonts w:asciiTheme="minorHAnsi" w:hAnsiTheme="minorHAnsi"/>
                <w:sz w:val="24"/>
                <w:szCs w:val="24"/>
              </w:rPr>
              <w:t>Pricing and structuring deal</w:t>
            </w:r>
          </w:p>
        </w:tc>
        <w:tc>
          <w:tcPr>
            <w:tcW w:w="2430" w:type="dxa"/>
          </w:tcPr>
          <w:p w:rsidR="00655A2C" w:rsidRPr="0097012A" w:rsidRDefault="00655A2C" w:rsidP="00C212F2">
            <w:pPr>
              <w:rPr>
                <w:rFonts w:asciiTheme="minorHAnsi" w:hAnsiTheme="minorHAnsi"/>
                <w:sz w:val="24"/>
                <w:szCs w:val="24"/>
              </w:rPr>
            </w:pPr>
          </w:p>
        </w:tc>
      </w:tr>
      <w:tr w:rsidR="00655A2C" w:rsidRPr="0097012A" w:rsidTr="00EC2254">
        <w:tc>
          <w:tcPr>
            <w:tcW w:w="738" w:type="dxa"/>
          </w:tcPr>
          <w:p w:rsidR="00655A2C" w:rsidRPr="0097012A" w:rsidRDefault="00655A2C" w:rsidP="008829B2">
            <w:pPr>
              <w:pStyle w:val="ListParagraph"/>
              <w:numPr>
                <w:ilvl w:val="0"/>
                <w:numId w:val="2"/>
              </w:numPr>
              <w:jc w:val="center"/>
              <w:rPr>
                <w:rFonts w:asciiTheme="minorHAnsi" w:hAnsiTheme="minorHAnsi"/>
                <w:sz w:val="24"/>
                <w:szCs w:val="24"/>
              </w:rPr>
            </w:pPr>
          </w:p>
        </w:tc>
        <w:tc>
          <w:tcPr>
            <w:tcW w:w="1530" w:type="dxa"/>
          </w:tcPr>
          <w:p w:rsidR="00655A2C" w:rsidRPr="0097012A" w:rsidRDefault="00655A2C">
            <w:pPr>
              <w:rPr>
                <w:rFonts w:asciiTheme="minorHAnsi" w:hAnsiTheme="minorHAnsi"/>
                <w:sz w:val="24"/>
                <w:szCs w:val="24"/>
              </w:rPr>
            </w:pPr>
            <w:r w:rsidRPr="0097012A">
              <w:rPr>
                <w:rFonts w:asciiTheme="minorHAnsi" w:hAnsiTheme="minorHAnsi"/>
                <w:sz w:val="24"/>
                <w:szCs w:val="24"/>
              </w:rPr>
              <w:t>November 25</w:t>
            </w:r>
          </w:p>
        </w:tc>
        <w:tc>
          <w:tcPr>
            <w:tcW w:w="2340" w:type="dxa"/>
          </w:tcPr>
          <w:p w:rsidR="00655A2C" w:rsidRPr="0097012A" w:rsidRDefault="00655A2C" w:rsidP="00C212F2">
            <w:pPr>
              <w:rPr>
                <w:rFonts w:asciiTheme="minorHAnsi" w:hAnsiTheme="minorHAnsi"/>
                <w:sz w:val="24"/>
                <w:szCs w:val="24"/>
              </w:rPr>
            </w:pPr>
            <w:r w:rsidRPr="0097012A">
              <w:rPr>
                <w:rFonts w:asciiTheme="minorHAnsi" w:hAnsiTheme="minorHAnsi"/>
                <w:sz w:val="24"/>
                <w:szCs w:val="24"/>
              </w:rPr>
              <w:t>Exit: Part I</w:t>
            </w:r>
          </w:p>
        </w:tc>
        <w:tc>
          <w:tcPr>
            <w:tcW w:w="6570" w:type="dxa"/>
          </w:tcPr>
          <w:p w:rsidR="00655A2C" w:rsidRPr="0097012A" w:rsidRDefault="00655A2C" w:rsidP="00C212F2">
            <w:pPr>
              <w:rPr>
                <w:rFonts w:asciiTheme="minorHAnsi" w:hAnsiTheme="minorHAnsi"/>
                <w:sz w:val="24"/>
                <w:szCs w:val="24"/>
              </w:rPr>
            </w:pPr>
            <w:r w:rsidRPr="0097012A">
              <w:rPr>
                <w:rFonts w:asciiTheme="minorHAnsi" w:hAnsiTheme="minorHAnsi"/>
                <w:sz w:val="24"/>
                <w:szCs w:val="24"/>
              </w:rPr>
              <w:t>M&amp;A</w:t>
            </w:r>
          </w:p>
          <w:p w:rsidR="00655A2C" w:rsidRPr="0097012A" w:rsidRDefault="00655A2C" w:rsidP="00C212F2">
            <w:pPr>
              <w:rPr>
                <w:rFonts w:asciiTheme="minorHAnsi" w:hAnsiTheme="minorHAnsi"/>
                <w:sz w:val="24"/>
                <w:szCs w:val="24"/>
              </w:rPr>
            </w:pPr>
          </w:p>
        </w:tc>
        <w:tc>
          <w:tcPr>
            <w:tcW w:w="2430" w:type="dxa"/>
          </w:tcPr>
          <w:p w:rsidR="0037301E" w:rsidRPr="00327725" w:rsidRDefault="0037301E" w:rsidP="0037301E">
            <w:pPr>
              <w:rPr>
                <w:rFonts w:asciiTheme="minorHAnsi" w:hAnsiTheme="minorHAnsi"/>
                <w:sz w:val="24"/>
                <w:szCs w:val="24"/>
              </w:rPr>
            </w:pPr>
            <w:r w:rsidRPr="0037301E">
              <w:rPr>
                <w:rFonts w:asciiTheme="minorHAnsi" w:hAnsiTheme="minorHAnsi"/>
                <w:i/>
                <w:sz w:val="24"/>
                <w:szCs w:val="24"/>
              </w:rPr>
              <w:t xml:space="preserve">The Entrepreneur’s Guide: </w:t>
            </w:r>
            <w:r w:rsidR="00327725">
              <w:rPr>
                <w:rFonts w:asciiTheme="minorHAnsi" w:hAnsiTheme="minorHAnsi"/>
                <w:sz w:val="24"/>
                <w:szCs w:val="24"/>
              </w:rPr>
              <w:t xml:space="preserve"> Chapter 16 – Buying and Selling a Business</w:t>
            </w:r>
          </w:p>
          <w:p w:rsidR="0037301E" w:rsidRDefault="0037301E" w:rsidP="00C212F2">
            <w:pPr>
              <w:rPr>
                <w:rFonts w:asciiTheme="minorHAnsi" w:hAnsiTheme="minorHAnsi"/>
                <w:sz w:val="24"/>
                <w:szCs w:val="24"/>
              </w:rPr>
            </w:pPr>
          </w:p>
          <w:p w:rsidR="00655A2C" w:rsidRPr="0097012A" w:rsidRDefault="00655A2C" w:rsidP="00C212F2">
            <w:pPr>
              <w:rPr>
                <w:rFonts w:asciiTheme="minorHAnsi" w:hAnsiTheme="minorHAnsi"/>
                <w:sz w:val="24"/>
                <w:szCs w:val="24"/>
              </w:rPr>
            </w:pPr>
            <w:r w:rsidRPr="0097012A">
              <w:rPr>
                <w:rFonts w:asciiTheme="minorHAnsi" w:hAnsiTheme="minorHAnsi"/>
                <w:sz w:val="24"/>
                <w:szCs w:val="24"/>
              </w:rPr>
              <w:t>M&amp;A LOI</w:t>
            </w:r>
          </w:p>
        </w:tc>
      </w:tr>
      <w:tr w:rsidR="00655A2C" w:rsidRPr="0097012A" w:rsidTr="00EC2254">
        <w:tc>
          <w:tcPr>
            <w:tcW w:w="738" w:type="dxa"/>
          </w:tcPr>
          <w:p w:rsidR="00655A2C" w:rsidRPr="0097012A" w:rsidRDefault="00655A2C" w:rsidP="008829B2">
            <w:pPr>
              <w:pStyle w:val="ListParagraph"/>
              <w:numPr>
                <w:ilvl w:val="0"/>
                <w:numId w:val="2"/>
              </w:numPr>
              <w:jc w:val="center"/>
              <w:rPr>
                <w:rFonts w:asciiTheme="minorHAnsi" w:hAnsiTheme="minorHAnsi"/>
                <w:sz w:val="24"/>
                <w:szCs w:val="24"/>
              </w:rPr>
            </w:pPr>
          </w:p>
        </w:tc>
        <w:tc>
          <w:tcPr>
            <w:tcW w:w="1530" w:type="dxa"/>
          </w:tcPr>
          <w:p w:rsidR="00655A2C" w:rsidRPr="0097012A" w:rsidRDefault="00655A2C">
            <w:pPr>
              <w:rPr>
                <w:rFonts w:asciiTheme="minorHAnsi" w:hAnsiTheme="minorHAnsi"/>
                <w:sz w:val="24"/>
                <w:szCs w:val="24"/>
              </w:rPr>
            </w:pPr>
            <w:r w:rsidRPr="0097012A">
              <w:rPr>
                <w:rFonts w:asciiTheme="minorHAnsi" w:hAnsiTheme="minorHAnsi"/>
                <w:sz w:val="24"/>
                <w:szCs w:val="24"/>
              </w:rPr>
              <w:t>December 2</w:t>
            </w:r>
          </w:p>
        </w:tc>
        <w:tc>
          <w:tcPr>
            <w:tcW w:w="2340" w:type="dxa"/>
          </w:tcPr>
          <w:p w:rsidR="00655A2C" w:rsidRPr="0097012A" w:rsidRDefault="00655A2C" w:rsidP="00C212F2">
            <w:pPr>
              <w:rPr>
                <w:rFonts w:asciiTheme="minorHAnsi" w:hAnsiTheme="minorHAnsi"/>
                <w:sz w:val="24"/>
                <w:szCs w:val="24"/>
              </w:rPr>
            </w:pPr>
            <w:r w:rsidRPr="0097012A">
              <w:rPr>
                <w:rFonts w:asciiTheme="minorHAnsi" w:hAnsiTheme="minorHAnsi"/>
                <w:sz w:val="24"/>
                <w:szCs w:val="24"/>
              </w:rPr>
              <w:t>Exit: Part II</w:t>
            </w:r>
          </w:p>
        </w:tc>
        <w:tc>
          <w:tcPr>
            <w:tcW w:w="6570" w:type="dxa"/>
          </w:tcPr>
          <w:p w:rsidR="00655A2C" w:rsidRPr="0097012A" w:rsidRDefault="00655A2C" w:rsidP="00C212F2">
            <w:pPr>
              <w:rPr>
                <w:rFonts w:asciiTheme="minorHAnsi" w:hAnsiTheme="minorHAnsi"/>
                <w:sz w:val="24"/>
                <w:szCs w:val="24"/>
              </w:rPr>
            </w:pPr>
            <w:r w:rsidRPr="0097012A">
              <w:rPr>
                <w:rFonts w:asciiTheme="minorHAnsi" w:hAnsiTheme="minorHAnsi"/>
                <w:sz w:val="24"/>
                <w:szCs w:val="24"/>
              </w:rPr>
              <w:t>IPO</w:t>
            </w:r>
          </w:p>
          <w:p w:rsidR="00655A2C" w:rsidRPr="0097012A" w:rsidRDefault="00655A2C" w:rsidP="00C212F2">
            <w:pPr>
              <w:rPr>
                <w:rFonts w:asciiTheme="minorHAnsi" w:hAnsiTheme="minorHAnsi"/>
                <w:sz w:val="24"/>
                <w:szCs w:val="24"/>
              </w:rPr>
            </w:pPr>
          </w:p>
        </w:tc>
        <w:tc>
          <w:tcPr>
            <w:tcW w:w="2430" w:type="dxa"/>
          </w:tcPr>
          <w:p w:rsidR="00327725" w:rsidRPr="00327725" w:rsidRDefault="00327725" w:rsidP="00327725">
            <w:pPr>
              <w:rPr>
                <w:rFonts w:asciiTheme="minorHAnsi" w:hAnsiTheme="minorHAnsi"/>
                <w:sz w:val="24"/>
                <w:szCs w:val="24"/>
              </w:rPr>
            </w:pPr>
            <w:r w:rsidRPr="0037301E">
              <w:rPr>
                <w:rFonts w:asciiTheme="minorHAnsi" w:hAnsiTheme="minorHAnsi"/>
                <w:i/>
                <w:sz w:val="24"/>
                <w:szCs w:val="24"/>
              </w:rPr>
              <w:t xml:space="preserve">The Entrepreneur’s Guide: </w:t>
            </w:r>
            <w:r>
              <w:rPr>
                <w:rFonts w:asciiTheme="minorHAnsi" w:hAnsiTheme="minorHAnsi"/>
                <w:sz w:val="24"/>
                <w:szCs w:val="24"/>
              </w:rPr>
              <w:t xml:space="preserve"> Chapter 17 – Going Public</w:t>
            </w:r>
          </w:p>
          <w:p w:rsidR="00327725" w:rsidRDefault="00327725" w:rsidP="00C212F2">
            <w:pPr>
              <w:rPr>
                <w:rFonts w:asciiTheme="minorHAnsi" w:hAnsiTheme="minorHAnsi"/>
                <w:sz w:val="24"/>
                <w:szCs w:val="24"/>
              </w:rPr>
            </w:pPr>
          </w:p>
          <w:p w:rsidR="006D13C8" w:rsidRPr="0097012A" w:rsidRDefault="00655A2C" w:rsidP="00C212F2">
            <w:pPr>
              <w:rPr>
                <w:rFonts w:asciiTheme="minorHAnsi" w:hAnsiTheme="minorHAnsi"/>
                <w:sz w:val="24"/>
                <w:szCs w:val="24"/>
              </w:rPr>
            </w:pPr>
            <w:r w:rsidRPr="0097012A">
              <w:rPr>
                <w:rFonts w:asciiTheme="minorHAnsi" w:hAnsiTheme="minorHAnsi"/>
                <w:sz w:val="24"/>
                <w:szCs w:val="24"/>
              </w:rPr>
              <w:t>Cooley IPO Handbook</w:t>
            </w:r>
          </w:p>
        </w:tc>
      </w:tr>
    </w:tbl>
    <w:p w:rsidR="00363796" w:rsidRPr="0097012A" w:rsidRDefault="00363796">
      <w:pPr>
        <w:rPr>
          <w:rFonts w:asciiTheme="minorHAnsi" w:hAnsiTheme="minorHAnsi"/>
        </w:rPr>
      </w:pPr>
    </w:p>
    <w:p w:rsidR="006D13C8" w:rsidRPr="00285442" w:rsidRDefault="006D13C8">
      <w:pPr>
        <w:rPr>
          <w:rFonts w:asciiTheme="minorHAnsi" w:hAnsiTheme="minorHAnsi"/>
          <w:b/>
        </w:rPr>
      </w:pPr>
      <w:r w:rsidRPr="00285442">
        <w:rPr>
          <w:rFonts w:asciiTheme="minorHAnsi" w:hAnsiTheme="minorHAnsi"/>
          <w:b/>
        </w:rPr>
        <w:t>Post Course Reading (Optional)</w:t>
      </w:r>
    </w:p>
    <w:p w:rsidR="006D13C8" w:rsidRPr="0097012A" w:rsidRDefault="006D13C8">
      <w:pPr>
        <w:rPr>
          <w:rFonts w:asciiTheme="minorHAnsi" w:hAnsiTheme="minorHAnsi"/>
        </w:rPr>
      </w:pPr>
      <w:r w:rsidRPr="0097012A">
        <w:rPr>
          <w:rFonts w:asciiTheme="minorHAnsi" w:hAnsiTheme="minorHAnsi"/>
        </w:rPr>
        <w:t>- General Practice Tips for New Lawyers</w:t>
      </w:r>
    </w:p>
    <w:p w:rsidR="00B70931" w:rsidRPr="0097012A" w:rsidRDefault="00B70931">
      <w:pPr>
        <w:rPr>
          <w:rFonts w:asciiTheme="minorHAnsi" w:hAnsiTheme="minorHAnsi"/>
        </w:rPr>
      </w:pPr>
    </w:p>
    <w:p w:rsidR="00B70931" w:rsidRPr="0097012A" w:rsidRDefault="00B70931">
      <w:pPr>
        <w:rPr>
          <w:rFonts w:asciiTheme="minorHAnsi" w:hAnsiTheme="minorHAnsi"/>
        </w:rPr>
      </w:pPr>
    </w:p>
    <w:p w:rsidR="00B70931" w:rsidRPr="0097012A" w:rsidRDefault="00B70931">
      <w:pPr>
        <w:rPr>
          <w:rFonts w:asciiTheme="minorHAnsi" w:hAnsiTheme="minorHAnsi"/>
        </w:rPr>
      </w:pPr>
    </w:p>
    <w:p w:rsidR="00B70931" w:rsidRPr="0097012A" w:rsidRDefault="00B70931">
      <w:pPr>
        <w:rPr>
          <w:rFonts w:asciiTheme="minorHAnsi" w:hAnsiTheme="minorHAnsi"/>
        </w:rPr>
        <w:sectPr w:rsidR="00B70931" w:rsidRPr="0097012A" w:rsidSect="00625A25">
          <w:pgSz w:w="15840" w:h="12240" w:orient="landscape"/>
          <w:pgMar w:top="1440" w:right="1440" w:bottom="1440" w:left="1440" w:header="720" w:footer="720" w:gutter="0"/>
          <w:cols w:space="720"/>
          <w:docGrid w:linePitch="360"/>
        </w:sectPr>
      </w:pPr>
    </w:p>
    <w:p w:rsidR="00B70931" w:rsidRPr="00285442" w:rsidRDefault="003E3C2C" w:rsidP="003E3C2C">
      <w:pPr>
        <w:jc w:val="center"/>
        <w:rPr>
          <w:rFonts w:asciiTheme="minorHAnsi" w:hAnsiTheme="minorHAnsi"/>
          <w:b/>
        </w:rPr>
      </w:pPr>
      <w:r w:rsidRPr="00285442">
        <w:rPr>
          <w:rFonts w:asciiTheme="minorHAnsi" w:hAnsiTheme="minorHAnsi"/>
          <w:b/>
        </w:rPr>
        <w:lastRenderedPageBreak/>
        <w:t xml:space="preserve">Schedule </w:t>
      </w:r>
      <w:proofErr w:type="gramStart"/>
      <w:r w:rsidRPr="00285442">
        <w:rPr>
          <w:rFonts w:asciiTheme="minorHAnsi" w:hAnsiTheme="minorHAnsi"/>
          <w:b/>
        </w:rPr>
        <w:t>A</w:t>
      </w:r>
      <w:proofErr w:type="gramEnd"/>
      <w:r w:rsidRPr="00285442">
        <w:rPr>
          <w:rFonts w:asciiTheme="minorHAnsi" w:hAnsiTheme="minorHAnsi"/>
          <w:b/>
        </w:rPr>
        <w:t xml:space="preserve"> - </w:t>
      </w:r>
      <w:r w:rsidR="00B70931" w:rsidRPr="00285442">
        <w:rPr>
          <w:rFonts w:asciiTheme="minorHAnsi" w:hAnsiTheme="minorHAnsi"/>
          <w:b/>
        </w:rPr>
        <w:t>Relevant Cases</w:t>
      </w:r>
    </w:p>
    <w:p w:rsidR="00B70931" w:rsidRPr="0097012A" w:rsidRDefault="00B70931">
      <w:pPr>
        <w:rPr>
          <w:rFonts w:asciiTheme="minorHAnsi" w:hAnsiTheme="minorHAnsi"/>
        </w:rPr>
      </w:pPr>
    </w:p>
    <w:tbl>
      <w:tblPr>
        <w:tblStyle w:val="TableGrid"/>
        <w:tblW w:w="12978" w:type="dxa"/>
        <w:tblLook w:val="04A0"/>
      </w:tblPr>
      <w:tblGrid>
        <w:gridCol w:w="1998"/>
        <w:gridCol w:w="1800"/>
        <w:gridCol w:w="1379"/>
        <w:gridCol w:w="7801"/>
      </w:tblGrid>
      <w:tr w:rsidR="00B70931" w:rsidRPr="0097012A" w:rsidTr="00B70931">
        <w:trPr>
          <w:trHeight w:val="332"/>
          <w:tblHeader/>
        </w:trPr>
        <w:tc>
          <w:tcPr>
            <w:tcW w:w="1998" w:type="dxa"/>
            <w:shd w:val="clear" w:color="auto" w:fill="D9D9D9" w:themeFill="background1" w:themeFillShade="D9"/>
            <w:noWrap/>
            <w:hideMark/>
          </w:tcPr>
          <w:p w:rsidR="00B70931" w:rsidRPr="0097012A" w:rsidRDefault="00B70931">
            <w:pPr>
              <w:rPr>
                <w:rFonts w:asciiTheme="minorHAnsi" w:hAnsiTheme="minorHAnsi"/>
                <w:b/>
                <w:sz w:val="24"/>
                <w:szCs w:val="24"/>
              </w:rPr>
            </w:pPr>
            <w:r w:rsidRPr="0097012A">
              <w:rPr>
                <w:rFonts w:asciiTheme="minorHAnsi" w:hAnsiTheme="minorHAnsi"/>
                <w:b/>
                <w:sz w:val="24"/>
                <w:szCs w:val="24"/>
              </w:rPr>
              <w:t>Name</w:t>
            </w:r>
          </w:p>
        </w:tc>
        <w:tc>
          <w:tcPr>
            <w:tcW w:w="1800" w:type="dxa"/>
            <w:shd w:val="clear" w:color="auto" w:fill="D9D9D9" w:themeFill="background1" w:themeFillShade="D9"/>
            <w:noWrap/>
            <w:hideMark/>
          </w:tcPr>
          <w:p w:rsidR="00B70931" w:rsidRPr="0097012A" w:rsidRDefault="00B70931">
            <w:pPr>
              <w:rPr>
                <w:rFonts w:asciiTheme="minorHAnsi" w:hAnsiTheme="minorHAnsi"/>
                <w:b/>
                <w:sz w:val="24"/>
                <w:szCs w:val="24"/>
              </w:rPr>
            </w:pPr>
            <w:r w:rsidRPr="0097012A">
              <w:rPr>
                <w:rFonts w:asciiTheme="minorHAnsi" w:hAnsiTheme="minorHAnsi"/>
                <w:b/>
                <w:sz w:val="24"/>
                <w:szCs w:val="24"/>
              </w:rPr>
              <w:t>Citation</w:t>
            </w:r>
          </w:p>
        </w:tc>
        <w:tc>
          <w:tcPr>
            <w:tcW w:w="1379" w:type="dxa"/>
            <w:shd w:val="clear" w:color="auto" w:fill="D9D9D9" w:themeFill="background1" w:themeFillShade="D9"/>
            <w:noWrap/>
            <w:hideMark/>
          </w:tcPr>
          <w:p w:rsidR="00B70931" w:rsidRPr="0097012A" w:rsidRDefault="00B70931">
            <w:pPr>
              <w:rPr>
                <w:rFonts w:asciiTheme="minorHAnsi" w:hAnsiTheme="minorHAnsi"/>
                <w:b/>
                <w:sz w:val="24"/>
                <w:szCs w:val="24"/>
              </w:rPr>
            </w:pPr>
            <w:r w:rsidRPr="0097012A">
              <w:rPr>
                <w:rFonts w:asciiTheme="minorHAnsi" w:hAnsiTheme="minorHAnsi"/>
                <w:b/>
                <w:sz w:val="24"/>
                <w:szCs w:val="24"/>
              </w:rPr>
              <w:t>NVCA Ref</w:t>
            </w:r>
          </w:p>
        </w:tc>
        <w:tc>
          <w:tcPr>
            <w:tcW w:w="7801" w:type="dxa"/>
            <w:shd w:val="clear" w:color="auto" w:fill="D9D9D9" w:themeFill="background1" w:themeFillShade="D9"/>
            <w:hideMark/>
          </w:tcPr>
          <w:p w:rsidR="00B70931" w:rsidRPr="0097012A" w:rsidRDefault="00B70931">
            <w:pPr>
              <w:rPr>
                <w:rFonts w:asciiTheme="minorHAnsi" w:hAnsiTheme="minorHAnsi"/>
                <w:b/>
                <w:sz w:val="24"/>
                <w:szCs w:val="24"/>
              </w:rPr>
            </w:pPr>
            <w:r w:rsidRPr="0097012A">
              <w:rPr>
                <w:rFonts w:asciiTheme="minorHAnsi" w:hAnsiTheme="minorHAnsi"/>
                <w:b/>
                <w:sz w:val="24"/>
                <w:szCs w:val="24"/>
              </w:rPr>
              <w:t>Lexis Summary</w:t>
            </w:r>
          </w:p>
        </w:tc>
      </w:tr>
      <w:tr w:rsidR="00B70931" w:rsidRPr="0097012A" w:rsidTr="00B70931">
        <w:trPr>
          <w:trHeight w:val="3770"/>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FGC Holdings Ltd. v. </w:t>
            </w:r>
            <w:proofErr w:type="spellStart"/>
            <w:r w:rsidRPr="0097012A">
              <w:rPr>
                <w:rFonts w:asciiTheme="minorHAnsi" w:hAnsiTheme="minorHAnsi"/>
                <w:sz w:val="24"/>
                <w:szCs w:val="24"/>
              </w:rPr>
              <w:t>Teltronics</w:t>
            </w:r>
            <w:proofErr w:type="spellEnd"/>
            <w:r w:rsidRPr="0097012A">
              <w:rPr>
                <w:rFonts w:asciiTheme="minorHAnsi" w:hAnsiTheme="minorHAnsi"/>
                <w:sz w:val="24"/>
                <w:szCs w:val="24"/>
              </w:rPr>
              <w:t>, Inc.</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883-N (Del. Ch. Ct. 9/14/05)</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When the special series of preferred stock was created, one seat on the board was designated as to be elected by that class. The corporate charter limited the number of directors to five, apparently in an effort to avoid dilution of the preferred stockholder interest. When a previous stockholder had held the preferred stock, it had not exercised its designation right, so the common stockholders elected all the directors, and the corporation resisted returning to its former practice when, after five directors had been named, the new preferred stockholder tried to designate a director. The court construed the charter and the CD together, and held that to give effect to both provisions, five directors were always authorized, of which the preferred stockholder could designate one, if it wished. The mere failure to designate such a director for several years did not clearly manifest </w:t>
            </w:r>
            <w:proofErr w:type="gramStart"/>
            <w:r w:rsidRPr="0097012A">
              <w:rPr>
                <w:rFonts w:asciiTheme="minorHAnsi" w:hAnsiTheme="minorHAnsi"/>
                <w:sz w:val="24"/>
                <w:szCs w:val="24"/>
              </w:rPr>
              <w:t>an intent</w:t>
            </w:r>
            <w:proofErr w:type="gramEnd"/>
            <w:r w:rsidRPr="0097012A">
              <w:rPr>
                <w:rFonts w:asciiTheme="minorHAnsi" w:hAnsiTheme="minorHAnsi"/>
                <w:sz w:val="24"/>
                <w:szCs w:val="24"/>
              </w:rPr>
              <w:t xml:space="preserve"> to waive operation of the provision. Since ordering immediate seating of a sixth director would have caused a charter violation, and since the next annual meeting was only six weeks away, the court simply directed that a designated director be named and seated thereafter.</w:t>
            </w:r>
          </w:p>
          <w:p w:rsidR="004E7343" w:rsidRPr="0097012A" w:rsidRDefault="004E7343">
            <w:pPr>
              <w:rPr>
                <w:rFonts w:asciiTheme="minorHAnsi" w:hAnsiTheme="minorHAnsi"/>
                <w:sz w:val="24"/>
                <w:szCs w:val="24"/>
              </w:rPr>
            </w:pPr>
          </w:p>
        </w:tc>
      </w:tr>
      <w:tr w:rsidR="00B70931" w:rsidRPr="0097012A" w:rsidTr="00B70931">
        <w:trPr>
          <w:trHeight w:val="3788"/>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lastRenderedPageBreak/>
              <w:t>Benchmark Capital Partners IV, L.P. v. Vague</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19719 (Del. Ch. Ct. 7/15/02)</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The junior stockholder invested in the first two series of the corporation's preferred stock. When additional capital was required, the preferred stockholder was an able and somewhat willing investor. As a result of that investment, the junior stockholder's holdings were relegated to the status of junior preferred stock, and the senior stockholder acquired a controlling interest in the corporation by virtue of ownership of senior preferred stock. The certificate of incorporation granted the junior preferred stockholders a series vote on corporate actions that would materially adversely change the rights, preferences, and privileges of the series of junior preferred stock. In addition, the junior preferred stockholders were entitled to a class vote before the corporation could authorize or issue, or obligate itself to issue, any other equity security senior to, or on a parity with, the junior preferred stock. The junior stockholder could not show a reasonable probability of success on the merits, irreparable harm if the injunction was not granted, or a balance of equities in favor of granting the relief.</w:t>
            </w:r>
          </w:p>
          <w:p w:rsidR="004E7343" w:rsidRPr="0097012A" w:rsidRDefault="004E7343">
            <w:pPr>
              <w:rPr>
                <w:rFonts w:asciiTheme="minorHAnsi" w:hAnsiTheme="minorHAnsi"/>
                <w:sz w:val="24"/>
                <w:szCs w:val="24"/>
              </w:rPr>
            </w:pPr>
          </w:p>
        </w:tc>
      </w:tr>
      <w:tr w:rsidR="00B70931" w:rsidRPr="0097012A" w:rsidTr="00B70931">
        <w:trPr>
          <w:trHeight w:val="4058"/>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Fletcher Int’l, Ltd. v. ION Geophysical Corp.</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5109-VCP (Del. Ch. Ct. 5/28/10)</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The PSH was the sole holder of all outstanding shares of corporate preferred stock, and pursuant thereto, it had the right to consent to the corporation's issuance of any securities through its subsidiaries. The corporation issued two CPNs to an anticipated joint </w:t>
            </w:r>
            <w:proofErr w:type="spellStart"/>
            <w:r w:rsidRPr="0097012A">
              <w:rPr>
                <w:rFonts w:asciiTheme="minorHAnsi" w:hAnsiTheme="minorHAnsi"/>
                <w:sz w:val="24"/>
                <w:szCs w:val="24"/>
              </w:rPr>
              <w:t>venturer</w:t>
            </w:r>
            <w:proofErr w:type="spellEnd"/>
            <w:r w:rsidRPr="0097012A">
              <w:rPr>
                <w:rFonts w:asciiTheme="minorHAnsi" w:hAnsiTheme="minorHAnsi"/>
                <w:sz w:val="24"/>
                <w:szCs w:val="24"/>
              </w:rPr>
              <w:t xml:space="preserve">, including one through its subsidiary. A provision thereof provided for the conversion into shares of common stock of the corporation. The PSH filed suit and thereafter sought partial summary judgment. The court previously denied relief with respect to the invalidation of the issuance of the CPN or the requirement for the corporation to repay funds borrowed under the CPN. As to unresolved issues involving breach of contract and fiduciary duty claims, the court held that the PSH had a contractual right to consent to the issuance of any security by the corporate subsidiary. The court concluded that the CPN was a security of the subsidiary. Accordingly, the corporation violated the terms that governed the PSH's stock by issuing the CPN without the PSH's consent. As claims against the </w:t>
            </w:r>
            <w:r w:rsidRPr="0097012A">
              <w:rPr>
                <w:rFonts w:asciiTheme="minorHAnsi" w:hAnsiTheme="minorHAnsi"/>
                <w:sz w:val="24"/>
                <w:szCs w:val="24"/>
              </w:rPr>
              <w:lastRenderedPageBreak/>
              <w:t>board of directors sought to remedy the same conduct complained of in the breach of contract claim, they were superfluous.</w:t>
            </w:r>
          </w:p>
          <w:p w:rsidR="004E7343" w:rsidRPr="0097012A" w:rsidRDefault="004E7343">
            <w:pPr>
              <w:rPr>
                <w:rFonts w:asciiTheme="minorHAnsi" w:hAnsiTheme="minorHAnsi"/>
                <w:sz w:val="24"/>
                <w:szCs w:val="24"/>
              </w:rPr>
            </w:pPr>
          </w:p>
        </w:tc>
      </w:tr>
      <w:tr w:rsidR="00B70931" w:rsidRPr="0097012A" w:rsidTr="00B70931">
        <w:trPr>
          <w:trHeight w:val="3770"/>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lastRenderedPageBreak/>
              <w:t>In re Appraisal of Metromedia International Group, Inc.</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3351-CC (Del. Ch. Ct. 4/16/09)</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The litigation arose from the merger of a company with the corporation, in which the corporation was the surviving entity. The corporation asserted that the highest value of the preferred stock shares was based on the preferred stock being converted into common stock shares under the certificate of designation. In contrast, the stockholders relied upon three different valuation approaches, pursuant to the statutory appraisal rights of Del. Code Ann. tit. 8, § 262. The court found that the corporation's certificate of designation delimited the value to which the preferred stockholders were entitled in the event of a merger. Because the certificate fixed the precise value to be paid to the preferred stockholders upon a merger event, the sole right available to the preferred stockholders under the certificate was the non-consensual conversion procedure under that provision of the certificate. Although the court considered the expert witness opinions, the court concluded that the provisions of the certificate of designation fixed the value of the preferred shares on the merger date. The stockholders were entitled to interest under Del. Code Ann. tit. 8, § 262(h).</w:t>
            </w:r>
          </w:p>
          <w:p w:rsidR="004E7343" w:rsidRPr="0097012A" w:rsidRDefault="004E7343">
            <w:pPr>
              <w:rPr>
                <w:rFonts w:asciiTheme="minorHAnsi" w:hAnsiTheme="minorHAnsi"/>
                <w:sz w:val="24"/>
                <w:szCs w:val="24"/>
              </w:rPr>
            </w:pPr>
          </w:p>
        </w:tc>
      </w:tr>
      <w:tr w:rsidR="00B70931" w:rsidRPr="0097012A" w:rsidTr="00B70931">
        <w:trPr>
          <w:trHeight w:val="4040"/>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lastRenderedPageBreak/>
              <w:t xml:space="preserve">SV Investment Partners, LLC v. </w:t>
            </w:r>
            <w:proofErr w:type="spellStart"/>
            <w:r w:rsidRPr="0097012A">
              <w:rPr>
                <w:rFonts w:asciiTheme="minorHAnsi" w:hAnsiTheme="minorHAnsi"/>
                <w:sz w:val="24"/>
                <w:szCs w:val="24"/>
              </w:rPr>
              <w:t>Thoughtworks</w:t>
            </w:r>
            <w:proofErr w:type="spellEnd"/>
            <w:r w:rsidRPr="0097012A">
              <w:rPr>
                <w:rFonts w:asciiTheme="minorHAnsi" w:hAnsiTheme="minorHAnsi"/>
                <w:sz w:val="24"/>
                <w:szCs w:val="24"/>
              </w:rPr>
              <w:t>, Inc.</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2724 (Del. Ch. Ct. 11/10/10)</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The CI granted preferred shareholders the right to redeem their stock for cash out of "any funds legally available </w:t>
            </w:r>
            <w:proofErr w:type="spellStart"/>
            <w:r w:rsidRPr="0097012A">
              <w:rPr>
                <w:rFonts w:asciiTheme="minorHAnsi" w:hAnsiTheme="minorHAnsi"/>
                <w:sz w:val="24"/>
                <w:szCs w:val="24"/>
              </w:rPr>
              <w:t>therefor</w:t>
            </w:r>
            <w:proofErr w:type="spellEnd"/>
            <w:r w:rsidRPr="0097012A">
              <w:rPr>
                <w:rFonts w:asciiTheme="minorHAnsi" w:hAnsiTheme="minorHAnsi"/>
                <w:sz w:val="24"/>
                <w:szCs w:val="24"/>
              </w:rPr>
              <w:t>." Plaintiffs argued that "funds legally available" meant "surplus," and presented an expert who opined that defendant had a surplus sufficient to redeem all the preferred stock. The court held that "funds legally available" was not equivalent to "surplus," but meant cash that was "available" (cash on hand or readily accessible through sales or borrowing) and that could be deployed "legally" for redemptions without violating Del. Code Ann. tit. 8, § 160 or other statutory or common law restrictions, including the requirement that the corporation be able to continue as a going concern and not be rendered insolvent by the distribution. Plaintiffs failed to prove that defendant's board of directors (</w:t>
            </w:r>
            <w:proofErr w:type="spellStart"/>
            <w:r w:rsidRPr="0097012A">
              <w:rPr>
                <w:rFonts w:asciiTheme="minorHAnsi" w:hAnsiTheme="minorHAnsi"/>
                <w:sz w:val="24"/>
                <w:szCs w:val="24"/>
              </w:rPr>
              <w:t>i</w:t>
            </w:r>
            <w:proofErr w:type="spellEnd"/>
            <w:r w:rsidRPr="0097012A">
              <w:rPr>
                <w:rFonts w:asciiTheme="minorHAnsi" w:hAnsiTheme="minorHAnsi"/>
                <w:sz w:val="24"/>
                <w:szCs w:val="24"/>
              </w:rPr>
              <w:t>) acted in bad faith in determining whether defendant had legally available funds, (ii) relied on methods and data that were unreliable, or (iii) made determinations so far off the mark as to constitute actual or constructive fraud. In making its redemption decisions, the board acted in good faith and relied on detailed analyses developed by well-qualified experts.</w:t>
            </w:r>
          </w:p>
          <w:p w:rsidR="004E7343" w:rsidRPr="0097012A" w:rsidRDefault="004E7343">
            <w:pPr>
              <w:rPr>
                <w:rFonts w:asciiTheme="minorHAnsi" w:hAnsiTheme="minorHAnsi"/>
                <w:sz w:val="24"/>
                <w:szCs w:val="24"/>
              </w:rPr>
            </w:pPr>
          </w:p>
        </w:tc>
      </w:tr>
      <w:tr w:rsidR="00B70931" w:rsidRPr="0097012A" w:rsidTr="00B70931">
        <w:trPr>
          <w:trHeight w:val="3788"/>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lastRenderedPageBreak/>
              <w:t>Kumar v. Racing Corp. of Am., Inc.</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12039 (Del. Ch. Ct. 4/26/91)</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After steps were taken to consummate a cash out merger of defendant corporation by its majority stockholder, plaintiff corporate owners sought and obtained a temporary restraining order that enjoined defendant from effectuating the merger. Defendant challenged the order. On appeal, plaintiff asserted that the merger was not entirely fair, that the directors' decision to approve the merger was made without due care, and that the merger violated the terms of the restated certificate. The court held that plaintiffs established a reasonable likelihood of success on the merits as to their entire fairness claims due to the timing of the merger, as well as the structure, negotiation, and disclosure of the merger. The court also held that plaintiffs were likely to prevail on their claim that defendants breached their duty of care because the only disinterested director was not only uninformed, but intentionally misled. The court held that plaintiffs did not establish a violation of the restated certificate. As to plaintiffs' harm, the court held that injunctive relief was appropriate notwithstanding the limited showing of irreparable harm. The court denied certain mandatory relief.</w:t>
            </w:r>
          </w:p>
          <w:p w:rsidR="004E7343" w:rsidRPr="0097012A" w:rsidRDefault="004E7343">
            <w:pPr>
              <w:rPr>
                <w:rFonts w:asciiTheme="minorHAnsi" w:hAnsiTheme="minorHAnsi"/>
                <w:sz w:val="24"/>
                <w:szCs w:val="24"/>
              </w:rPr>
            </w:pPr>
          </w:p>
        </w:tc>
      </w:tr>
      <w:tr w:rsidR="00B70931" w:rsidRPr="0097012A" w:rsidTr="00B70931">
        <w:trPr>
          <w:trHeight w:val="4310"/>
        </w:trPr>
        <w:tc>
          <w:tcPr>
            <w:tcW w:w="1998" w:type="dxa"/>
            <w:noWrap/>
            <w:hideMark/>
          </w:tcPr>
          <w:p w:rsidR="00B70931" w:rsidRPr="0097012A" w:rsidRDefault="00B70931">
            <w:pPr>
              <w:rPr>
                <w:rFonts w:asciiTheme="minorHAnsi" w:hAnsiTheme="minorHAnsi"/>
                <w:sz w:val="24"/>
                <w:szCs w:val="24"/>
              </w:rPr>
            </w:pPr>
            <w:proofErr w:type="spellStart"/>
            <w:r w:rsidRPr="0097012A">
              <w:rPr>
                <w:rFonts w:asciiTheme="minorHAnsi" w:hAnsiTheme="minorHAnsi"/>
                <w:sz w:val="24"/>
                <w:szCs w:val="24"/>
              </w:rPr>
              <w:lastRenderedPageBreak/>
              <w:t>Lidow</w:t>
            </w:r>
            <w:proofErr w:type="spellEnd"/>
            <w:r w:rsidRPr="0097012A">
              <w:rPr>
                <w:rFonts w:asciiTheme="minorHAnsi" w:hAnsiTheme="minorHAnsi"/>
                <w:sz w:val="24"/>
                <w:szCs w:val="24"/>
              </w:rPr>
              <w:t xml:space="preserve"> v. Superior Court</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141 Cal. </w:t>
            </w:r>
            <w:proofErr w:type="spellStart"/>
            <w:r w:rsidRPr="0097012A">
              <w:rPr>
                <w:rFonts w:asciiTheme="minorHAnsi" w:hAnsiTheme="minorHAnsi"/>
                <w:sz w:val="24"/>
                <w:szCs w:val="24"/>
              </w:rPr>
              <w:t>Rptr</w:t>
            </w:r>
            <w:proofErr w:type="spellEnd"/>
            <w:r w:rsidRPr="0097012A">
              <w:rPr>
                <w:rFonts w:asciiTheme="minorHAnsi" w:hAnsiTheme="minorHAnsi"/>
                <w:sz w:val="24"/>
                <w:szCs w:val="24"/>
              </w:rPr>
              <w:t>. 3d 729  (Cal. Ct. App. 2012)</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The corporation was a Delaware corporation. The officer left his position pursuant to a negotiated separation agreement following an internal investigation of accounting irregularities. He alleged that the governing board had removed him in retaliation for his complaints about possible illegal or harmful activity and breaches of ethical conduct relating to the investigation. The corporation's bylaws provided that officers served at the pleasure of the board and could be removed with or without cause at any time. The court concluded that the superior court erred in applying Delaware law pursuant to the internal affairs doctrine. Although removing an officer might fall within the scope of a corporation's internal governance for purposes of applying the law of the state of incorporation under other circumstances, the internal affairs doctrine did not apply when an officer asserted a claim for wrongful termination in violation of public policy. The termination of a corporate officer for reasons that allegedly violated public policy did not fall within the scope of a corporation's internal affairs because such claims involved a vital interest protected by California law.</w:t>
            </w:r>
          </w:p>
        </w:tc>
      </w:tr>
      <w:tr w:rsidR="00B70931" w:rsidRPr="0097012A" w:rsidTr="00B70931">
        <w:trPr>
          <w:trHeight w:val="3698"/>
        </w:trPr>
        <w:tc>
          <w:tcPr>
            <w:tcW w:w="1998" w:type="dxa"/>
            <w:noWrap/>
            <w:hideMark/>
          </w:tcPr>
          <w:p w:rsidR="00B70931" w:rsidRPr="0097012A" w:rsidRDefault="00B70931">
            <w:pPr>
              <w:rPr>
                <w:rFonts w:asciiTheme="minorHAnsi" w:hAnsiTheme="minorHAnsi"/>
                <w:sz w:val="24"/>
                <w:szCs w:val="24"/>
              </w:rPr>
            </w:pPr>
            <w:proofErr w:type="spellStart"/>
            <w:r w:rsidRPr="0097012A">
              <w:rPr>
                <w:rFonts w:asciiTheme="minorHAnsi" w:hAnsiTheme="minorHAnsi"/>
                <w:sz w:val="24"/>
                <w:szCs w:val="24"/>
              </w:rPr>
              <w:lastRenderedPageBreak/>
              <w:t>VantagePoint</w:t>
            </w:r>
            <w:proofErr w:type="spellEnd"/>
            <w:r w:rsidRPr="0097012A">
              <w:rPr>
                <w:rFonts w:asciiTheme="minorHAnsi" w:hAnsiTheme="minorHAnsi"/>
                <w:sz w:val="24"/>
                <w:szCs w:val="24"/>
              </w:rPr>
              <w:t xml:space="preserve"> Venture Partners 1996 v. </w:t>
            </w:r>
            <w:proofErr w:type="spellStart"/>
            <w:r w:rsidRPr="0097012A">
              <w:rPr>
                <w:rFonts w:asciiTheme="minorHAnsi" w:hAnsiTheme="minorHAnsi"/>
                <w:sz w:val="24"/>
                <w:szCs w:val="24"/>
              </w:rPr>
              <w:t>Examen</w:t>
            </w:r>
            <w:proofErr w:type="spellEnd"/>
            <w:r w:rsidRPr="0097012A">
              <w:rPr>
                <w:rFonts w:asciiTheme="minorHAnsi" w:hAnsiTheme="minorHAnsi"/>
                <w:sz w:val="24"/>
                <w:szCs w:val="24"/>
              </w:rPr>
              <w:t>, Inc.</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 871 A.2d 1108</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The shareholder was a Delaware limited partnership and was a Series A preferred shareholder of the corporation. The corporation was a Delaware corporation engaged in the business of providing web-based legal expense management solutions, and, following the merger with the legal services corporation, also a Delaware corporation, </w:t>
            </w:r>
            <w:proofErr w:type="gramStart"/>
            <w:r w:rsidRPr="0097012A">
              <w:rPr>
                <w:rFonts w:asciiTheme="minorHAnsi" w:hAnsiTheme="minorHAnsi"/>
                <w:sz w:val="24"/>
                <w:szCs w:val="24"/>
              </w:rPr>
              <w:t>a</w:t>
            </w:r>
            <w:proofErr w:type="gramEnd"/>
            <w:r w:rsidRPr="0097012A">
              <w:rPr>
                <w:rFonts w:asciiTheme="minorHAnsi" w:hAnsiTheme="minorHAnsi"/>
                <w:sz w:val="24"/>
                <w:szCs w:val="24"/>
              </w:rPr>
              <w:t xml:space="preserve"> combined name became the surviving entity. The corporation sought a judicial declaration that, pursuant to controlling law, the shareholder was not entitled to a class vote of the Series A preferred stock on the proposed merger between the corporation and the legal services corporation. If Delaware law applied, the shareholder did not have a class vote and would have been permitted to block the vote approving the merger. The trial court held that Delaware law governed the vote that was required to approve the merger between the two Delaware corporate entities. The court held that the trial court properly applied the internal affairs doctrine of Delaware as it applied to foreign corporations and properly held that the shareholder had no class vote.</w:t>
            </w:r>
          </w:p>
          <w:p w:rsidR="004E7343" w:rsidRPr="0097012A" w:rsidRDefault="004E7343">
            <w:pPr>
              <w:rPr>
                <w:rFonts w:asciiTheme="minorHAnsi" w:hAnsiTheme="minorHAnsi"/>
                <w:sz w:val="24"/>
                <w:szCs w:val="24"/>
              </w:rPr>
            </w:pPr>
          </w:p>
        </w:tc>
      </w:tr>
      <w:tr w:rsidR="00B70931" w:rsidRPr="0097012A" w:rsidTr="004E7343">
        <w:trPr>
          <w:trHeight w:val="3788"/>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Wilson v. Louisiana-Pacific Resources, Inc. </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138 Cal. App. 3d 216 (1983)</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NVCA Charter</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 xml:space="preserve">Plaintiff shareholder brought an action against defendant Utah corporation, seeking a declaratory judgment that defendant met the tests of Cal. Corp. Code § 2115, and that he was therefore entitled to cumulative voting in accordance with Cal. Corp. Code § 708. The trial court entered a judgment for plaintiff and defendant appealed on constitutional grounds. The court affirmed the judgment, concluding that the choice of California law, rather than Utah law, did not exceed federal constitutional requirements. In determining whether a state's choice-of-law decision exceeded federal constitutional requirements, the court considered whether California had significant contact or a significant aggregation of contacts, creating state interests, such that the choice of its law was neither arbitrary nor fundamentally unfair. The court explained that the test was met because, to be subject to § 2115, defendant was required to have a significant aggregation of contacts and the state interests created by those contacts </w:t>
            </w:r>
            <w:r w:rsidRPr="0097012A">
              <w:rPr>
                <w:rFonts w:asciiTheme="minorHAnsi" w:hAnsiTheme="minorHAnsi"/>
                <w:sz w:val="24"/>
                <w:szCs w:val="24"/>
              </w:rPr>
              <w:lastRenderedPageBreak/>
              <w:t>were substantial.</w:t>
            </w:r>
          </w:p>
        </w:tc>
      </w:tr>
      <w:tr w:rsidR="00B70931" w:rsidRPr="0097012A" w:rsidTr="00B70931">
        <w:trPr>
          <w:trHeight w:val="3878"/>
        </w:trPr>
        <w:tc>
          <w:tcPr>
            <w:tcW w:w="1998" w:type="dxa"/>
            <w:noWrap/>
            <w:hideMark/>
          </w:tcPr>
          <w:p w:rsidR="00B70931" w:rsidRPr="0097012A" w:rsidRDefault="00B70931" w:rsidP="005069F1">
            <w:pPr>
              <w:rPr>
                <w:rFonts w:asciiTheme="minorHAnsi" w:hAnsiTheme="minorHAnsi"/>
                <w:sz w:val="24"/>
                <w:szCs w:val="24"/>
              </w:rPr>
            </w:pPr>
            <w:r w:rsidRPr="0097012A">
              <w:rPr>
                <w:rFonts w:asciiTheme="minorHAnsi" w:hAnsiTheme="minorHAnsi"/>
                <w:sz w:val="24"/>
                <w:szCs w:val="24"/>
              </w:rPr>
              <w:lastRenderedPageBreak/>
              <w:t xml:space="preserve">in re </w:t>
            </w:r>
            <w:proofErr w:type="spellStart"/>
            <w:r w:rsidRPr="0097012A">
              <w:rPr>
                <w:rFonts w:asciiTheme="minorHAnsi" w:hAnsiTheme="minorHAnsi"/>
                <w:sz w:val="24"/>
                <w:szCs w:val="24"/>
              </w:rPr>
              <w:t>Trados</w:t>
            </w:r>
            <w:proofErr w:type="spellEnd"/>
            <w:r w:rsidRPr="0097012A">
              <w:rPr>
                <w:rFonts w:asciiTheme="minorHAnsi" w:hAnsiTheme="minorHAnsi"/>
                <w:sz w:val="24"/>
                <w:szCs w:val="24"/>
              </w:rPr>
              <w:t xml:space="preserve"> Inc. </w:t>
            </w:r>
            <w:proofErr w:type="spellStart"/>
            <w:r w:rsidRPr="0097012A">
              <w:rPr>
                <w:rFonts w:asciiTheme="minorHAnsi" w:hAnsiTheme="minorHAnsi"/>
                <w:sz w:val="24"/>
                <w:szCs w:val="24"/>
              </w:rPr>
              <w:t>S’holder</w:t>
            </w:r>
            <w:proofErr w:type="spellEnd"/>
            <w:r w:rsidRPr="0097012A">
              <w:rPr>
                <w:rFonts w:asciiTheme="minorHAnsi" w:hAnsiTheme="minorHAnsi"/>
                <w:sz w:val="24"/>
                <w:szCs w:val="24"/>
              </w:rPr>
              <w:t xml:space="preserve"> Litigation</w:t>
            </w:r>
          </w:p>
        </w:tc>
        <w:tc>
          <w:tcPr>
            <w:tcW w:w="1800" w:type="dxa"/>
            <w:noWrap/>
            <w:hideMark/>
          </w:tcPr>
          <w:p w:rsidR="00B70931" w:rsidRPr="0097012A" w:rsidRDefault="00B70931" w:rsidP="005069F1">
            <w:pPr>
              <w:rPr>
                <w:rFonts w:asciiTheme="minorHAnsi" w:hAnsiTheme="minorHAnsi"/>
                <w:sz w:val="24"/>
                <w:szCs w:val="24"/>
              </w:rPr>
            </w:pPr>
            <w:r w:rsidRPr="0097012A">
              <w:rPr>
                <w:rFonts w:asciiTheme="minorHAnsi" w:hAnsiTheme="minorHAnsi"/>
                <w:sz w:val="24"/>
                <w:szCs w:val="24"/>
              </w:rPr>
              <w:t>Case No. C.A. 1512-CC (Del. Ch. Ct. 7/24/09)</w:t>
            </w:r>
          </w:p>
        </w:tc>
        <w:tc>
          <w:tcPr>
            <w:tcW w:w="1379" w:type="dxa"/>
            <w:noWrap/>
            <w:hideMark/>
          </w:tcPr>
          <w:p w:rsidR="00B70931" w:rsidRPr="0097012A" w:rsidRDefault="00B70931" w:rsidP="005069F1">
            <w:pPr>
              <w:rPr>
                <w:rFonts w:asciiTheme="minorHAnsi" w:hAnsiTheme="minorHAnsi"/>
                <w:sz w:val="24"/>
                <w:szCs w:val="24"/>
              </w:rPr>
            </w:pPr>
            <w:r w:rsidRPr="0097012A">
              <w:rPr>
                <w:rFonts w:asciiTheme="minorHAnsi" w:hAnsiTheme="minorHAnsi"/>
                <w:sz w:val="24"/>
                <w:szCs w:val="24"/>
              </w:rPr>
              <w:t>Voting</w:t>
            </w:r>
          </w:p>
        </w:tc>
        <w:tc>
          <w:tcPr>
            <w:tcW w:w="7801" w:type="dxa"/>
            <w:hideMark/>
          </w:tcPr>
          <w:p w:rsidR="00B70931" w:rsidRPr="0097012A" w:rsidRDefault="00B70931" w:rsidP="005069F1">
            <w:pPr>
              <w:rPr>
                <w:rFonts w:asciiTheme="minorHAnsi" w:hAnsiTheme="minorHAnsi"/>
                <w:sz w:val="24"/>
                <w:szCs w:val="24"/>
              </w:rPr>
            </w:pPr>
            <w:r w:rsidRPr="0097012A">
              <w:rPr>
                <w:rFonts w:asciiTheme="minorHAnsi" w:hAnsiTheme="minorHAnsi"/>
                <w:sz w:val="24"/>
                <w:szCs w:val="24"/>
              </w:rPr>
              <w:t xml:space="preserve">When the corporation became a subsidiary of the PC, the preferred stockholders (PSs) received some of the PC's contribution through the triggering of a liquidation preference, and the remainder was paid to the executive officers of the corporation pursuant to a bonus plan. However, the common stockholders received nothing for their common shares. The FS filed suit, alleging that the corporate board favored the interests of the PSs and that the PC and some of its officers conspired with certain corporate directors to defer revenue until after the merger. The court initially noted that the claims were not barred by </w:t>
            </w:r>
            <w:proofErr w:type="spellStart"/>
            <w:r w:rsidRPr="0097012A">
              <w:rPr>
                <w:rFonts w:asciiTheme="minorHAnsi" w:hAnsiTheme="minorHAnsi"/>
                <w:sz w:val="24"/>
                <w:szCs w:val="24"/>
              </w:rPr>
              <w:t>laches</w:t>
            </w:r>
            <w:proofErr w:type="spellEnd"/>
            <w:r w:rsidRPr="0097012A">
              <w:rPr>
                <w:rFonts w:asciiTheme="minorHAnsi" w:hAnsiTheme="minorHAnsi"/>
                <w:sz w:val="24"/>
                <w:szCs w:val="24"/>
              </w:rPr>
              <w:t>. The FS successfully rebutted the presumption of the business judgment rule pursuant to Del. Code Ann. tit. 8, § 141(a) for purposes of surviving the dismissal motion. She showed that the interests of the PSs and the common stockholders were not aligned. The directors owned preferred stock and had relationships with PSs, such that they were either interested or lacked independence with respect to the merger decision. However, the FS did not sufficiently allege a claim based on the alleged revenue manipulation, as it required the court to make unnecessary inferences.</w:t>
            </w:r>
          </w:p>
          <w:p w:rsidR="004E7343" w:rsidRPr="0097012A" w:rsidRDefault="004E7343" w:rsidP="005069F1">
            <w:pPr>
              <w:rPr>
                <w:rFonts w:asciiTheme="minorHAnsi" w:hAnsiTheme="minorHAnsi"/>
                <w:sz w:val="24"/>
                <w:szCs w:val="24"/>
              </w:rPr>
            </w:pPr>
          </w:p>
        </w:tc>
      </w:tr>
      <w:tr w:rsidR="00B70931" w:rsidRPr="0097012A" w:rsidTr="00B70931">
        <w:trPr>
          <w:trHeight w:val="3878"/>
        </w:trPr>
        <w:tc>
          <w:tcPr>
            <w:tcW w:w="1998" w:type="dxa"/>
            <w:noWrap/>
            <w:hideMark/>
          </w:tcPr>
          <w:p w:rsidR="00B70931" w:rsidRPr="0097012A" w:rsidRDefault="00B70931">
            <w:pPr>
              <w:rPr>
                <w:rFonts w:asciiTheme="minorHAnsi" w:hAnsiTheme="minorHAnsi"/>
                <w:sz w:val="24"/>
                <w:szCs w:val="24"/>
              </w:rPr>
            </w:pPr>
            <w:proofErr w:type="spellStart"/>
            <w:r w:rsidRPr="0097012A">
              <w:rPr>
                <w:rFonts w:asciiTheme="minorHAnsi" w:hAnsiTheme="minorHAnsi"/>
                <w:sz w:val="24"/>
                <w:szCs w:val="24"/>
              </w:rPr>
              <w:lastRenderedPageBreak/>
              <w:t>Abry</w:t>
            </w:r>
            <w:proofErr w:type="spellEnd"/>
            <w:r w:rsidRPr="0097012A">
              <w:rPr>
                <w:rFonts w:asciiTheme="minorHAnsi" w:hAnsiTheme="minorHAnsi"/>
                <w:sz w:val="24"/>
                <w:szCs w:val="24"/>
              </w:rPr>
              <w:t xml:space="preserve"> Partners V </w:t>
            </w:r>
            <w:proofErr w:type="spellStart"/>
            <w:r w:rsidRPr="0097012A">
              <w:rPr>
                <w:rFonts w:asciiTheme="minorHAnsi" w:hAnsiTheme="minorHAnsi"/>
                <w:sz w:val="24"/>
                <w:szCs w:val="24"/>
              </w:rPr>
              <w:t>v</w:t>
            </w:r>
            <w:proofErr w:type="spellEnd"/>
            <w:r w:rsidRPr="0097012A">
              <w:rPr>
                <w:rFonts w:asciiTheme="minorHAnsi" w:hAnsiTheme="minorHAnsi"/>
                <w:sz w:val="24"/>
                <w:szCs w:val="24"/>
              </w:rPr>
              <w:t>. F&amp;W Acquisition LLC</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Case No. C.A. 1756-N (Del Ch. Ct. 2/14/06)</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Voting</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The parties entered into the SPA for the buyer's purchase of a portfolio company. The SPA indicated that the buyer only relied on representations and warranties within the four corners, it limited the liability of the seller for any misrepresentation of fact contained therein, and it provided that an indemnity claim was the buyer's exclusive remedy. Thereafter, the buyer filed suit, alleging that the financial statements contained material misrepresentations, resulting in excessive overpayment. The seller sought dismissal based on failure to state a claim. The court initially noted that due to the forum selection clause and the choice of law principles of Del. Code Ann. tit. 6, § 2708, Delaware law was controlling. Further, the complaint was pled with sufficient particularity pursuant to Del. Ch. Ct. R. 9(b). The court found that as the parties were sophisticated, the exclusive remedy provision was enforceable to the extent that the seller did not make intentional misrepresentations or act with knowledge of the falsity thereof. However, if the buyer showed knowledge or intentional misrepresentations, then the limitation provision was invalid as against public policy.</w:t>
            </w:r>
          </w:p>
          <w:p w:rsidR="004E7343" w:rsidRPr="0097012A" w:rsidRDefault="004E7343">
            <w:pPr>
              <w:rPr>
                <w:rFonts w:asciiTheme="minorHAnsi" w:hAnsiTheme="minorHAnsi"/>
                <w:sz w:val="24"/>
                <w:szCs w:val="24"/>
              </w:rPr>
            </w:pPr>
          </w:p>
        </w:tc>
      </w:tr>
      <w:tr w:rsidR="00B70931" w:rsidRPr="0097012A" w:rsidTr="004E7343">
        <w:trPr>
          <w:trHeight w:val="2267"/>
        </w:trPr>
        <w:tc>
          <w:tcPr>
            <w:tcW w:w="1998"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lastRenderedPageBreak/>
              <w:t xml:space="preserve">Delaware Coalition for Open Government v. </w:t>
            </w:r>
            <w:proofErr w:type="spellStart"/>
            <w:r w:rsidRPr="0097012A">
              <w:rPr>
                <w:rFonts w:asciiTheme="minorHAnsi" w:hAnsiTheme="minorHAnsi"/>
                <w:sz w:val="24"/>
                <w:szCs w:val="24"/>
              </w:rPr>
              <w:t>Strine</w:t>
            </w:r>
            <w:proofErr w:type="spellEnd"/>
            <w:r w:rsidRPr="0097012A">
              <w:rPr>
                <w:rFonts w:asciiTheme="minorHAnsi" w:hAnsiTheme="minorHAnsi"/>
                <w:sz w:val="24"/>
                <w:szCs w:val="24"/>
              </w:rPr>
              <w:t xml:space="preserve"> </w:t>
            </w:r>
          </w:p>
        </w:tc>
        <w:tc>
          <w:tcPr>
            <w:tcW w:w="1800"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(D. Del. Aug. 30, 2012)</w:t>
            </w:r>
          </w:p>
        </w:tc>
        <w:tc>
          <w:tcPr>
            <w:tcW w:w="1379" w:type="dxa"/>
            <w:noWrap/>
            <w:hideMark/>
          </w:tcPr>
          <w:p w:rsidR="00B70931" w:rsidRPr="0097012A" w:rsidRDefault="00B70931">
            <w:pPr>
              <w:rPr>
                <w:rFonts w:asciiTheme="minorHAnsi" w:hAnsiTheme="minorHAnsi"/>
                <w:sz w:val="24"/>
                <w:szCs w:val="24"/>
              </w:rPr>
            </w:pPr>
            <w:r w:rsidRPr="0097012A">
              <w:rPr>
                <w:rFonts w:asciiTheme="minorHAnsi" w:hAnsiTheme="minorHAnsi"/>
                <w:sz w:val="24"/>
                <w:szCs w:val="24"/>
              </w:rPr>
              <w:t>Voting</w:t>
            </w:r>
          </w:p>
        </w:tc>
        <w:tc>
          <w:tcPr>
            <w:tcW w:w="7801" w:type="dxa"/>
            <w:hideMark/>
          </w:tcPr>
          <w:p w:rsidR="00B70931" w:rsidRPr="0097012A" w:rsidRDefault="00B70931">
            <w:pPr>
              <w:rPr>
                <w:rFonts w:asciiTheme="minorHAnsi" w:hAnsiTheme="minorHAnsi"/>
                <w:sz w:val="24"/>
                <w:szCs w:val="24"/>
              </w:rPr>
            </w:pPr>
            <w:r w:rsidRPr="0097012A">
              <w:rPr>
                <w:rFonts w:asciiTheme="minorHAnsi" w:hAnsiTheme="minorHAnsi"/>
                <w:sz w:val="24"/>
                <w:szCs w:val="24"/>
              </w:rPr>
              <w:t>The First Amendment protects a qualified right of access to criminal and civil trials. Except in limited circumstances, those proceedings cannot be closed to the public. Under the Delaware law and Chancery Court rules, a sitting judge of the Chancery Court, acting pursuant to state authority, hears evidence, finds facts, and issues an enforceable order dictating the obligations of the parties. The Court concludes that the Delaware proceeding functions essentially as a non-jury trial before a Chancery Court judge. Because it is a civil trial, there is a qualified right of access and this proceeding must be open to the public.</w:t>
            </w:r>
          </w:p>
        </w:tc>
      </w:tr>
    </w:tbl>
    <w:p w:rsidR="00B70931" w:rsidRPr="0097012A" w:rsidRDefault="00B70931">
      <w:pPr>
        <w:rPr>
          <w:rFonts w:asciiTheme="minorHAnsi" w:hAnsiTheme="minorHAnsi"/>
        </w:rPr>
      </w:pPr>
    </w:p>
    <w:sectPr w:rsidR="00B70931" w:rsidRPr="0097012A" w:rsidSect="00625A2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5F" w:rsidRDefault="00ED1A5F" w:rsidP="00496BB9">
      <w:r>
        <w:separator/>
      </w:r>
    </w:p>
  </w:endnote>
  <w:endnote w:type="continuationSeparator" w:id="0">
    <w:p w:rsidR="00ED1A5F" w:rsidRDefault="00ED1A5F" w:rsidP="00496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5F" w:rsidRDefault="00ED1A5F" w:rsidP="00496BB9">
      <w:r>
        <w:separator/>
      </w:r>
    </w:p>
  </w:footnote>
  <w:footnote w:type="continuationSeparator" w:id="0">
    <w:p w:rsidR="00ED1A5F" w:rsidRDefault="00ED1A5F" w:rsidP="00496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55E"/>
    <w:multiLevelType w:val="hybridMultilevel"/>
    <w:tmpl w:val="B1E2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A0AE8"/>
    <w:multiLevelType w:val="hybridMultilevel"/>
    <w:tmpl w:val="0DC4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B258B"/>
    <w:multiLevelType w:val="hybridMultilevel"/>
    <w:tmpl w:val="F7CC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F59CE"/>
    <w:multiLevelType w:val="hybridMultilevel"/>
    <w:tmpl w:val="F0CC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86EB1"/>
    <w:multiLevelType w:val="hybridMultilevel"/>
    <w:tmpl w:val="8C24E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73180"/>
    <w:multiLevelType w:val="hybridMultilevel"/>
    <w:tmpl w:val="734CA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9D6C10"/>
    <w:multiLevelType w:val="hybridMultilevel"/>
    <w:tmpl w:val="BFF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C2F93"/>
    <w:multiLevelType w:val="hybridMultilevel"/>
    <w:tmpl w:val="A680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D61D1"/>
    <w:multiLevelType w:val="hybridMultilevel"/>
    <w:tmpl w:val="9E26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33659"/>
    <w:multiLevelType w:val="hybridMultilevel"/>
    <w:tmpl w:val="421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40DED"/>
    <w:multiLevelType w:val="hybridMultilevel"/>
    <w:tmpl w:val="00C2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9"/>
  </w:num>
  <w:num w:numId="7">
    <w:abstractNumId w:val="7"/>
  </w:num>
  <w:num w:numId="8">
    <w:abstractNumId w:val="2"/>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C:\Users\levys\Dropbox\Cornell - Levy&amp;Yaghmaie\Outline\Cornell Outline (Fall 8-27).DOCX"/>
    <w:docVar w:name="MPDocIDTemplateDefault" w:val="%n| v%v|/%l"/>
    <w:docVar w:name="NewDocStampType" w:val="7"/>
    <w:docVar w:name="zzmpFixed_MacPacVersion" w:val="9.0"/>
  </w:docVars>
  <w:rsids>
    <w:rsidRoot w:val="00253536"/>
    <w:rsid w:val="00030BB2"/>
    <w:rsid w:val="000A1B75"/>
    <w:rsid w:val="000B52F9"/>
    <w:rsid w:val="00110392"/>
    <w:rsid w:val="001404DC"/>
    <w:rsid w:val="001454A1"/>
    <w:rsid w:val="00151B3A"/>
    <w:rsid w:val="00171EE6"/>
    <w:rsid w:val="00173D73"/>
    <w:rsid w:val="00181C23"/>
    <w:rsid w:val="001B15F1"/>
    <w:rsid w:val="001C0C79"/>
    <w:rsid w:val="001C1D02"/>
    <w:rsid w:val="00253536"/>
    <w:rsid w:val="00285442"/>
    <w:rsid w:val="002A4414"/>
    <w:rsid w:val="00300143"/>
    <w:rsid w:val="003007A8"/>
    <w:rsid w:val="00300ECA"/>
    <w:rsid w:val="00314D82"/>
    <w:rsid w:val="00327725"/>
    <w:rsid w:val="00343512"/>
    <w:rsid w:val="00363796"/>
    <w:rsid w:val="0037301E"/>
    <w:rsid w:val="003A06D7"/>
    <w:rsid w:val="003C238B"/>
    <w:rsid w:val="003D7C0B"/>
    <w:rsid w:val="003E3C2C"/>
    <w:rsid w:val="004044B0"/>
    <w:rsid w:val="00496BB9"/>
    <w:rsid w:val="004E50E9"/>
    <w:rsid w:val="004E7343"/>
    <w:rsid w:val="0053133E"/>
    <w:rsid w:val="0053774A"/>
    <w:rsid w:val="00550BE4"/>
    <w:rsid w:val="0059277A"/>
    <w:rsid w:val="005E6ED6"/>
    <w:rsid w:val="0060432B"/>
    <w:rsid w:val="006135F8"/>
    <w:rsid w:val="006157FC"/>
    <w:rsid w:val="00625A25"/>
    <w:rsid w:val="00655A2C"/>
    <w:rsid w:val="006C27F2"/>
    <w:rsid w:val="006D13C8"/>
    <w:rsid w:val="006D4703"/>
    <w:rsid w:val="006E542B"/>
    <w:rsid w:val="00705642"/>
    <w:rsid w:val="00706FC3"/>
    <w:rsid w:val="007204A0"/>
    <w:rsid w:val="007E41C5"/>
    <w:rsid w:val="00815CE0"/>
    <w:rsid w:val="008829B2"/>
    <w:rsid w:val="008A1AB9"/>
    <w:rsid w:val="008F0829"/>
    <w:rsid w:val="008F690E"/>
    <w:rsid w:val="0097012A"/>
    <w:rsid w:val="009B63F3"/>
    <w:rsid w:val="009D7C16"/>
    <w:rsid w:val="00A02A13"/>
    <w:rsid w:val="00A20C8B"/>
    <w:rsid w:val="00A35E1F"/>
    <w:rsid w:val="00A43DF6"/>
    <w:rsid w:val="00A64A2F"/>
    <w:rsid w:val="00AC042C"/>
    <w:rsid w:val="00AD2E6A"/>
    <w:rsid w:val="00AE63B1"/>
    <w:rsid w:val="00AF7A50"/>
    <w:rsid w:val="00B70931"/>
    <w:rsid w:val="00B75318"/>
    <w:rsid w:val="00B97D98"/>
    <w:rsid w:val="00BD1C86"/>
    <w:rsid w:val="00BE1347"/>
    <w:rsid w:val="00BE606F"/>
    <w:rsid w:val="00C2109B"/>
    <w:rsid w:val="00C3229C"/>
    <w:rsid w:val="00C33303"/>
    <w:rsid w:val="00C33D7A"/>
    <w:rsid w:val="00CC7603"/>
    <w:rsid w:val="00CD1F9A"/>
    <w:rsid w:val="00CD6750"/>
    <w:rsid w:val="00D2569E"/>
    <w:rsid w:val="00D27D9A"/>
    <w:rsid w:val="00D472F0"/>
    <w:rsid w:val="00E022EC"/>
    <w:rsid w:val="00E02F62"/>
    <w:rsid w:val="00E82879"/>
    <w:rsid w:val="00EC2254"/>
    <w:rsid w:val="00ED1A5F"/>
    <w:rsid w:val="00EF7C32"/>
    <w:rsid w:val="00F906AC"/>
    <w:rsid w:val="00F909E0"/>
    <w:rsid w:val="00F96D3D"/>
    <w:rsid w:val="00F971B7"/>
    <w:rsid w:val="00FB6552"/>
    <w:rsid w:val="00FC7B12"/>
    <w:rsid w:val="00FD2CC4"/>
    <w:rsid w:val="00FE199D"/>
    <w:rsid w:val="00FF5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8B"/>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550B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0C8B"/>
    <w:pPr>
      <w:widowControl w:val="0"/>
      <w:spacing w:after="240"/>
      <w:ind w:firstLine="720"/>
    </w:pPr>
  </w:style>
  <w:style w:type="character" w:customStyle="1" w:styleId="BodyTextChar">
    <w:name w:val="Body Text Char"/>
    <w:basedOn w:val="DefaultParagraphFont"/>
    <w:link w:val="BodyText"/>
    <w:rsid w:val="00A35E1F"/>
    <w:rPr>
      <w:rFonts w:ascii="Times New Roman" w:hAnsi="Times New Roman" w:cs="Times New Roman"/>
      <w:sz w:val="24"/>
      <w:szCs w:val="24"/>
    </w:rPr>
  </w:style>
  <w:style w:type="paragraph" w:customStyle="1" w:styleId="BodyTextContinued">
    <w:name w:val="Body Text Continued"/>
    <w:basedOn w:val="BodyText"/>
    <w:next w:val="BodyText"/>
    <w:rsid w:val="00A20C8B"/>
    <w:pPr>
      <w:ind w:firstLine="0"/>
    </w:pPr>
    <w:rPr>
      <w:szCs w:val="20"/>
    </w:rPr>
  </w:style>
  <w:style w:type="paragraph" w:styleId="Quote">
    <w:name w:val="Quote"/>
    <w:basedOn w:val="Normal"/>
    <w:next w:val="BodyTextContinued"/>
    <w:link w:val="QuoteChar"/>
    <w:qFormat/>
    <w:rsid w:val="00A20C8B"/>
    <w:pPr>
      <w:spacing w:after="240"/>
      <w:ind w:left="1440" w:right="1440"/>
    </w:pPr>
    <w:rPr>
      <w:szCs w:val="20"/>
    </w:rPr>
  </w:style>
  <w:style w:type="character" w:customStyle="1" w:styleId="QuoteChar">
    <w:name w:val="Quote Char"/>
    <w:basedOn w:val="DefaultParagraphFont"/>
    <w:link w:val="Quote"/>
    <w:rsid w:val="00A35E1F"/>
    <w:rPr>
      <w:rFonts w:ascii="Times New Roman" w:hAnsi="Times New Roman" w:cs="Times New Roman"/>
      <w:sz w:val="24"/>
      <w:szCs w:val="20"/>
    </w:rPr>
  </w:style>
  <w:style w:type="paragraph" w:styleId="Header">
    <w:name w:val="header"/>
    <w:basedOn w:val="Normal"/>
    <w:link w:val="HeaderChar"/>
    <w:rsid w:val="00A20C8B"/>
    <w:pPr>
      <w:tabs>
        <w:tab w:val="center" w:pos="4680"/>
        <w:tab w:val="right" w:pos="9360"/>
      </w:tabs>
    </w:pPr>
  </w:style>
  <w:style w:type="character" w:customStyle="1" w:styleId="HeaderChar">
    <w:name w:val="Header Char"/>
    <w:basedOn w:val="DefaultParagraphFont"/>
    <w:link w:val="Header"/>
    <w:rsid w:val="00A35E1F"/>
    <w:rPr>
      <w:rFonts w:ascii="Times New Roman" w:hAnsi="Times New Roman" w:cs="Times New Roman"/>
      <w:sz w:val="24"/>
      <w:szCs w:val="24"/>
    </w:rPr>
  </w:style>
  <w:style w:type="paragraph" w:styleId="Footer">
    <w:name w:val="footer"/>
    <w:basedOn w:val="Normal"/>
    <w:link w:val="FooterChar"/>
    <w:rsid w:val="00A20C8B"/>
    <w:pPr>
      <w:tabs>
        <w:tab w:val="center" w:pos="4680"/>
        <w:tab w:val="right" w:pos="9360"/>
      </w:tabs>
    </w:pPr>
  </w:style>
  <w:style w:type="character" w:customStyle="1" w:styleId="FooterChar">
    <w:name w:val="Footer Char"/>
    <w:basedOn w:val="DefaultParagraphFont"/>
    <w:link w:val="Footer"/>
    <w:rsid w:val="00A35E1F"/>
    <w:rPr>
      <w:rFonts w:ascii="Times New Roman" w:hAnsi="Times New Roman" w:cs="Times New Roman"/>
      <w:sz w:val="24"/>
      <w:szCs w:val="24"/>
    </w:rPr>
  </w:style>
  <w:style w:type="character" w:styleId="PageNumber">
    <w:name w:val="page number"/>
    <w:basedOn w:val="DefaultParagraphFont"/>
    <w:rsid w:val="00A20C8B"/>
  </w:style>
  <w:style w:type="character" w:customStyle="1" w:styleId="zzmpTrailerItem">
    <w:name w:val="zzmpTrailerItem"/>
    <w:basedOn w:val="DefaultParagraphFont"/>
    <w:rsid w:val="00F971B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3Char">
    <w:name w:val="Heading 3 Char"/>
    <w:basedOn w:val="DefaultParagraphFont"/>
    <w:link w:val="Heading3"/>
    <w:uiPriority w:val="9"/>
    <w:rsid w:val="00550BE4"/>
    <w:rPr>
      <w:rFonts w:ascii="Times New Roman" w:hAnsi="Times New Roman" w:cs="Times New Roman"/>
      <w:b/>
      <w:bCs/>
      <w:sz w:val="27"/>
      <w:szCs w:val="27"/>
    </w:rPr>
  </w:style>
  <w:style w:type="paragraph" w:styleId="NormalWeb">
    <w:name w:val="Normal (Web)"/>
    <w:basedOn w:val="Normal"/>
    <w:uiPriority w:val="99"/>
    <w:unhideWhenUsed/>
    <w:rsid w:val="00550BE4"/>
    <w:pPr>
      <w:spacing w:before="100" w:beforeAutospacing="1" w:after="100" w:afterAutospacing="1"/>
    </w:pPr>
  </w:style>
  <w:style w:type="character" w:customStyle="1" w:styleId="apple-converted-space">
    <w:name w:val="apple-converted-space"/>
    <w:basedOn w:val="DefaultParagraphFont"/>
    <w:rsid w:val="00550BE4"/>
  </w:style>
  <w:style w:type="table" w:styleId="TableGrid">
    <w:name w:val="Table Grid"/>
    <w:basedOn w:val="TableNormal"/>
    <w:uiPriority w:val="59"/>
    <w:rsid w:val="0062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5A25"/>
    <w:pPr>
      <w:ind w:left="720"/>
      <w:contextualSpacing/>
    </w:pPr>
  </w:style>
</w:styles>
</file>

<file path=word/webSettings.xml><?xml version="1.0" encoding="utf-8"?>
<w:webSettings xmlns:r="http://schemas.openxmlformats.org/officeDocument/2006/relationships" xmlns:w="http://schemas.openxmlformats.org/wordprocessingml/2006/main">
  <w:divs>
    <w:div w:id="29041634">
      <w:bodyDiv w:val="1"/>
      <w:marLeft w:val="0"/>
      <w:marRight w:val="0"/>
      <w:marTop w:val="0"/>
      <w:marBottom w:val="0"/>
      <w:divBdr>
        <w:top w:val="none" w:sz="0" w:space="0" w:color="auto"/>
        <w:left w:val="none" w:sz="0" w:space="0" w:color="auto"/>
        <w:bottom w:val="none" w:sz="0" w:space="0" w:color="auto"/>
        <w:right w:val="none" w:sz="0" w:space="0" w:color="auto"/>
      </w:divBdr>
    </w:div>
    <w:div w:id="221715097">
      <w:bodyDiv w:val="1"/>
      <w:marLeft w:val="0"/>
      <w:marRight w:val="0"/>
      <w:marTop w:val="0"/>
      <w:marBottom w:val="0"/>
      <w:divBdr>
        <w:top w:val="none" w:sz="0" w:space="0" w:color="auto"/>
        <w:left w:val="none" w:sz="0" w:space="0" w:color="auto"/>
        <w:bottom w:val="none" w:sz="0" w:space="0" w:color="auto"/>
        <w:right w:val="none" w:sz="0" w:space="0" w:color="auto"/>
      </w:divBdr>
    </w:div>
    <w:div w:id="432171376">
      <w:bodyDiv w:val="1"/>
      <w:marLeft w:val="0"/>
      <w:marRight w:val="0"/>
      <w:marTop w:val="0"/>
      <w:marBottom w:val="0"/>
      <w:divBdr>
        <w:top w:val="none" w:sz="0" w:space="0" w:color="auto"/>
        <w:left w:val="none" w:sz="0" w:space="0" w:color="auto"/>
        <w:bottom w:val="none" w:sz="0" w:space="0" w:color="auto"/>
        <w:right w:val="none" w:sz="0" w:space="0" w:color="auto"/>
      </w:divBdr>
    </w:div>
    <w:div w:id="666128376">
      <w:bodyDiv w:val="1"/>
      <w:marLeft w:val="0"/>
      <w:marRight w:val="0"/>
      <w:marTop w:val="0"/>
      <w:marBottom w:val="0"/>
      <w:divBdr>
        <w:top w:val="none" w:sz="0" w:space="0" w:color="auto"/>
        <w:left w:val="none" w:sz="0" w:space="0" w:color="auto"/>
        <w:bottom w:val="none" w:sz="0" w:space="0" w:color="auto"/>
        <w:right w:val="none" w:sz="0" w:space="0" w:color="auto"/>
      </w:divBdr>
    </w:div>
    <w:div w:id="864294598">
      <w:bodyDiv w:val="1"/>
      <w:marLeft w:val="0"/>
      <w:marRight w:val="0"/>
      <w:marTop w:val="0"/>
      <w:marBottom w:val="0"/>
      <w:divBdr>
        <w:top w:val="none" w:sz="0" w:space="0" w:color="auto"/>
        <w:left w:val="none" w:sz="0" w:space="0" w:color="auto"/>
        <w:bottom w:val="none" w:sz="0" w:space="0" w:color="auto"/>
        <w:right w:val="none" w:sz="0" w:space="0" w:color="auto"/>
      </w:divBdr>
    </w:div>
    <w:div w:id="1164668310">
      <w:bodyDiv w:val="1"/>
      <w:marLeft w:val="0"/>
      <w:marRight w:val="0"/>
      <w:marTop w:val="0"/>
      <w:marBottom w:val="0"/>
      <w:divBdr>
        <w:top w:val="none" w:sz="0" w:space="0" w:color="auto"/>
        <w:left w:val="none" w:sz="0" w:space="0" w:color="auto"/>
        <w:bottom w:val="none" w:sz="0" w:space="0" w:color="auto"/>
        <w:right w:val="none" w:sz="0" w:space="0" w:color="auto"/>
      </w:divBdr>
    </w:div>
    <w:div w:id="1202742607">
      <w:bodyDiv w:val="1"/>
      <w:marLeft w:val="0"/>
      <w:marRight w:val="0"/>
      <w:marTop w:val="0"/>
      <w:marBottom w:val="0"/>
      <w:divBdr>
        <w:top w:val="none" w:sz="0" w:space="0" w:color="auto"/>
        <w:left w:val="none" w:sz="0" w:space="0" w:color="auto"/>
        <w:bottom w:val="none" w:sz="0" w:space="0" w:color="auto"/>
        <w:right w:val="none" w:sz="0" w:space="0" w:color="auto"/>
      </w:divBdr>
    </w:div>
    <w:div w:id="1309438789">
      <w:bodyDiv w:val="1"/>
      <w:marLeft w:val="0"/>
      <w:marRight w:val="0"/>
      <w:marTop w:val="0"/>
      <w:marBottom w:val="0"/>
      <w:divBdr>
        <w:top w:val="none" w:sz="0" w:space="0" w:color="auto"/>
        <w:left w:val="none" w:sz="0" w:space="0" w:color="auto"/>
        <w:bottom w:val="none" w:sz="0" w:space="0" w:color="auto"/>
        <w:right w:val="none" w:sz="0" w:space="0" w:color="auto"/>
      </w:divBdr>
    </w:div>
    <w:div w:id="1381708005">
      <w:bodyDiv w:val="1"/>
      <w:marLeft w:val="0"/>
      <w:marRight w:val="0"/>
      <w:marTop w:val="0"/>
      <w:marBottom w:val="0"/>
      <w:divBdr>
        <w:top w:val="none" w:sz="0" w:space="0" w:color="auto"/>
        <w:left w:val="none" w:sz="0" w:space="0" w:color="auto"/>
        <w:bottom w:val="none" w:sz="0" w:space="0" w:color="auto"/>
        <w:right w:val="none" w:sz="0" w:space="0" w:color="auto"/>
      </w:divBdr>
    </w:div>
    <w:div w:id="1423526334">
      <w:bodyDiv w:val="1"/>
      <w:marLeft w:val="0"/>
      <w:marRight w:val="0"/>
      <w:marTop w:val="0"/>
      <w:marBottom w:val="0"/>
      <w:divBdr>
        <w:top w:val="none" w:sz="0" w:space="0" w:color="auto"/>
        <w:left w:val="none" w:sz="0" w:space="0" w:color="auto"/>
        <w:bottom w:val="none" w:sz="0" w:space="0" w:color="auto"/>
        <w:right w:val="none" w:sz="0" w:space="0" w:color="auto"/>
      </w:divBdr>
    </w:div>
    <w:div w:id="1836846683">
      <w:bodyDiv w:val="1"/>
      <w:marLeft w:val="0"/>
      <w:marRight w:val="0"/>
      <w:marTop w:val="0"/>
      <w:marBottom w:val="0"/>
      <w:divBdr>
        <w:top w:val="none" w:sz="0" w:space="0" w:color="auto"/>
        <w:left w:val="none" w:sz="0" w:space="0" w:color="auto"/>
        <w:bottom w:val="none" w:sz="0" w:space="0" w:color="auto"/>
        <w:right w:val="none" w:sz="0" w:space="0" w:color="auto"/>
      </w:divBdr>
    </w:div>
    <w:div w:id="20626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B691-D21E-422B-BAB0-6BA96D72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18</Pages>
  <Words>3390</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Cooley</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levys</dc:creator>
  <cp:lastModifiedBy>levys</cp:lastModifiedBy>
  <cp:revision>49</cp:revision>
  <dcterms:created xsi:type="dcterms:W3CDTF">2013-08-01T17:11:00Z</dcterms:created>
  <dcterms:modified xsi:type="dcterms:W3CDTF">2013-08-27T23:47:00Z</dcterms:modified>
</cp:coreProperties>
</file>